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9589B">
      <w:pPr>
        <w:jc w:val="center"/>
        <w:rPr>
          <w:rFonts w:hint="eastAsia"/>
          <w:sz w:val="28"/>
          <w:lang w:val="en-US" w:eastAsia="zh-CN"/>
        </w:rPr>
      </w:pPr>
      <w:r>
        <w:rPr>
          <w:rFonts w:hint="eastAsia"/>
          <w:sz w:val="28"/>
          <w:lang w:val="en-US" w:eastAsia="zh-CN"/>
        </w:rPr>
        <w:t>安徽新华学院整体供电规划优化及近期供电</w:t>
      </w:r>
    </w:p>
    <w:p w14:paraId="0E1CA98A">
      <w:pPr>
        <w:jc w:val="center"/>
        <w:rPr>
          <w:rFonts w:hint="default"/>
          <w:sz w:val="28"/>
          <w:lang w:val="en-US" w:eastAsia="zh-CN"/>
        </w:rPr>
      </w:pPr>
      <w:r>
        <w:rPr>
          <w:rFonts w:hint="eastAsia"/>
          <w:sz w:val="28"/>
          <w:lang w:val="en-US" w:eastAsia="zh-CN"/>
        </w:rPr>
        <w:t>增容设计报价单</w:t>
      </w:r>
    </w:p>
    <w:tbl>
      <w:tblPr>
        <w:tblStyle w:val="6"/>
        <w:tblW w:w="86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770"/>
        <w:gridCol w:w="2810"/>
        <w:gridCol w:w="1110"/>
        <w:gridCol w:w="1130"/>
        <w:gridCol w:w="1120"/>
      </w:tblGrid>
      <w:tr w14:paraId="7C54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696" w:type="dxa"/>
            <w:vAlign w:val="center"/>
          </w:tcPr>
          <w:p w14:paraId="2A2FAC41">
            <w:pPr>
              <w:jc w:val="left"/>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序号</w:t>
            </w:r>
          </w:p>
        </w:tc>
        <w:tc>
          <w:tcPr>
            <w:tcW w:w="1770" w:type="dxa"/>
            <w:vAlign w:val="center"/>
          </w:tcPr>
          <w:p w14:paraId="5B692449">
            <w:pPr>
              <w:jc w:val="center"/>
              <w:rPr>
                <w:rFonts w:hint="eastAsia" w:cs="Times New Roman" w:asciiTheme="minorEastAsia" w:hAnsiTheme="minorEastAsia" w:eastAsiaTheme="minorEastAsia"/>
                <w:kern w:val="0"/>
                <w:sz w:val="21"/>
                <w:szCs w:val="21"/>
                <w:lang w:eastAsia="zh-CN"/>
              </w:rPr>
            </w:pPr>
            <w:r>
              <w:rPr>
                <w:rFonts w:cs="Times New Roman" w:asciiTheme="minorEastAsia" w:hAnsiTheme="minorEastAsia" w:eastAsiaTheme="minorEastAsia"/>
                <w:kern w:val="0"/>
                <w:sz w:val="21"/>
                <w:szCs w:val="21"/>
              </w:rPr>
              <w:t>设计</w:t>
            </w:r>
            <w:r>
              <w:rPr>
                <w:rFonts w:hint="eastAsia" w:cs="Times New Roman" w:asciiTheme="minorEastAsia" w:hAnsiTheme="minorEastAsia"/>
                <w:kern w:val="0"/>
                <w:sz w:val="21"/>
                <w:szCs w:val="21"/>
                <w:lang w:val="en-US" w:eastAsia="zh-CN"/>
              </w:rPr>
              <w:t>范围</w:t>
            </w:r>
          </w:p>
        </w:tc>
        <w:tc>
          <w:tcPr>
            <w:tcW w:w="2810" w:type="dxa"/>
            <w:vAlign w:val="center"/>
          </w:tcPr>
          <w:p w14:paraId="72EDFC68">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设计内容</w:t>
            </w:r>
          </w:p>
        </w:tc>
        <w:tc>
          <w:tcPr>
            <w:tcW w:w="1110" w:type="dxa"/>
            <w:vAlign w:val="center"/>
          </w:tcPr>
          <w:p w14:paraId="22F60E03">
            <w:pPr>
              <w:jc w:val="center"/>
              <w:rPr>
                <w:rFonts w:hint="eastAsia" w:cs="Times New Roman" w:asciiTheme="minorEastAsia" w:hAnsiTheme="minorEastAsia"/>
                <w:kern w:val="0"/>
                <w:sz w:val="21"/>
                <w:szCs w:val="21"/>
                <w:lang w:val="en-US" w:eastAsia="zh-CN"/>
              </w:rPr>
            </w:pPr>
            <w:r>
              <w:rPr>
                <w:rFonts w:hint="eastAsia" w:cs="Times New Roman" w:asciiTheme="minorEastAsia" w:hAnsiTheme="minorEastAsia"/>
                <w:kern w:val="0"/>
                <w:sz w:val="21"/>
                <w:szCs w:val="21"/>
                <w:lang w:val="en-US" w:eastAsia="zh-CN"/>
              </w:rPr>
              <w:t>报价</w:t>
            </w:r>
          </w:p>
          <w:p w14:paraId="7579F781">
            <w:pPr>
              <w:jc w:val="center"/>
              <w:rPr>
                <w:rFonts w:hint="default" w:cs="Times New Roman" w:asciiTheme="minorEastAsia" w:hAnsiTheme="minorEastAsia" w:eastAsiaTheme="minorEastAsia"/>
                <w:kern w:val="0"/>
                <w:sz w:val="21"/>
                <w:szCs w:val="21"/>
                <w:lang w:val="en-US" w:eastAsia="zh-CN"/>
              </w:rPr>
            </w:pPr>
            <w:r>
              <w:rPr>
                <w:rFonts w:hint="eastAsia" w:cs="Times New Roman" w:asciiTheme="minorEastAsia" w:hAnsiTheme="minorEastAsia"/>
                <w:kern w:val="0"/>
                <w:sz w:val="21"/>
                <w:szCs w:val="21"/>
                <w:lang w:val="en-US" w:eastAsia="zh-CN"/>
              </w:rPr>
              <w:t>（元）</w:t>
            </w:r>
          </w:p>
        </w:tc>
        <w:tc>
          <w:tcPr>
            <w:tcW w:w="1130" w:type="dxa"/>
            <w:vAlign w:val="center"/>
          </w:tcPr>
          <w:p w14:paraId="32CE63BE">
            <w:pPr>
              <w:jc w:val="center"/>
              <w:rPr>
                <w:rFonts w:hint="default" w:cs="Times New Roman" w:asciiTheme="minorEastAsia" w:hAnsiTheme="minorEastAsia" w:eastAsiaTheme="minorEastAsia"/>
                <w:kern w:val="0"/>
                <w:sz w:val="21"/>
                <w:szCs w:val="21"/>
                <w:lang w:val="en-US" w:eastAsia="zh-CN"/>
              </w:rPr>
            </w:pPr>
            <w:r>
              <w:rPr>
                <w:rFonts w:hint="eastAsia" w:cs="Times New Roman" w:asciiTheme="minorEastAsia" w:hAnsiTheme="minorEastAsia"/>
                <w:kern w:val="0"/>
                <w:sz w:val="21"/>
                <w:szCs w:val="21"/>
                <w:lang w:val="en-US" w:eastAsia="zh-CN"/>
              </w:rPr>
              <w:t>设计时间（天）</w:t>
            </w:r>
          </w:p>
        </w:tc>
        <w:tc>
          <w:tcPr>
            <w:tcW w:w="1120" w:type="dxa"/>
            <w:vAlign w:val="center"/>
          </w:tcPr>
          <w:p w14:paraId="0437C43D">
            <w:pPr>
              <w:jc w:val="center"/>
              <w:rPr>
                <w:rFonts w:cs="Times New Roman" w:asciiTheme="minorEastAsia" w:hAnsiTheme="minorEastAsia" w:eastAsiaTheme="minorEastAsia"/>
                <w:kern w:val="0"/>
                <w:sz w:val="21"/>
                <w:szCs w:val="21"/>
              </w:rPr>
            </w:pPr>
            <w:r>
              <w:rPr>
                <w:rFonts w:hint="eastAsia" w:cs="Times New Roman" w:asciiTheme="minorEastAsia" w:hAnsiTheme="minorEastAsia" w:eastAsiaTheme="minorEastAsia"/>
                <w:kern w:val="0"/>
                <w:sz w:val="21"/>
                <w:szCs w:val="21"/>
              </w:rPr>
              <w:t>备注</w:t>
            </w:r>
          </w:p>
        </w:tc>
      </w:tr>
      <w:tr w14:paraId="04A0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8" w:hRule="atLeast"/>
        </w:trPr>
        <w:tc>
          <w:tcPr>
            <w:tcW w:w="696" w:type="dxa"/>
            <w:vAlign w:val="center"/>
          </w:tcPr>
          <w:p w14:paraId="7D2112E5">
            <w:pPr>
              <w:tabs>
                <w:tab w:val="left" w:pos="230"/>
              </w:tabs>
              <w:spacing w:line="400" w:lineRule="exact"/>
              <w:jc w:val="center"/>
              <w:rPr>
                <w:rFonts w:hint="default" w:cs="Times New Roman" w:asciiTheme="minorEastAsia" w:hAnsiTheme="minorEastAsia"/>
                <w:kern w:val="0"/>
                <w:sz w:val="21"/>
                <w:szCs w:val="21"/>
                <w:lang w:val="en-US" w:eastAsia="zh-CN"/>
              </w:rPr>
            </w:pPr>
            <w:r>
              <w:rPr>
                <w:rFonts w:hint="eastAsia" w:cs="Times New Roman" w:asciiTheme="minorEastAsia" w:hAnsiTheme="minorEastAsia"/>
                <w:kern w:val="0"/>
                <w:sz w:val="21"/>
                <w:szCs w:val="21"/>
                <w:lang w:val="en-US" w:eastAsia="zh-CN"/>
              </w:rPr>
              <w:t>1</w:t>
            </w:r>
          </w:p>
        </w:tc>
        <w:tc>
          <w:tcPr>
            <w:tcW w:w="1770" w:type="dxa"/>
            <w:vAlign w:val="center"/>
          </w:tcPr>
          <w:p w14:paraId="7F753DC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校园现状供电进行梳理</w:t>
            </w:r>
          </w:p>
        </w:tc>
        <w:tc>
          <w:tcPr>
            <w:tcW w:w="2810" w:type="dxa"/>
            <w:vAlign w:val="center"/>
          </w:tcPr>
          <w:p w14:paraId="2C24ADA2">
            <w:pPr>
              <w:keepNext w:val="0"/>
              <w:keepLines w:val="0"/>
              <w:pageBreakBefore w:val="0"/>
              <w:widowControl w:val="0"/>
              <w:kinsoku/>
              <w:wordWrap/>
              <w:overflowPunct/>
              <w:topLinePunct w:val="0"/>
              <w:autoSpaceDE/>
              <w:autoSpaceDN/>
              <w:bidi w:val="0"/>
              <w:adjustRightInd/>
              <w:snapToGrid/>
              <w:spacing w:line="280" w:lineRule="exact"/>
              <w:ind w:firstLine="150" w:firstLineChars="100"/>
              <w:jc w:val="left"/>
              <w:textAlignment w:val="auto"/>
              <w:rPr>
                <w:rFonts w:hint="eastAsia" w:ascii="宋体" w:hAnsi="宋体" w:eastAsia="宋体" w:cs="宋体"/>
                <w:kern w:val="0"/>
                <w:sz w:val="15"/>
                <w:szCs w:val="15"/>
                <w:lang w:val="en-US" w:eastAsia="zh-CN"/>
              </w:rPr>
            </w:pPr>
            <w:r>
              <w:rPr>
                <w:rFonts w:hint="eastAsia" w:ascii="宋体" w:hAnsi="宋体" w:eastAsia="宋体" w:cs="宋体"/>
                <w:kern w:val="0"/>
                <w:sz w:val="15"/>
                <w:szCs w:val="15"/>
                <w:lang w:val="en-US" w:eastAsia="zh-CN"/>
              </w:rPr>
              <w:t>配合业主方进行校园现状供电梳理，对甲方提供的供电资料重新梳理，必要时需逐一勘查现场，依据业主使用部门用电需求（新增空调、电梯、开水器等），梳理各单体新增用电容量，确定变压器配置容量、数量及所在变电所的位置</w:t>
            </w:r>
          </w:p>
        </w:tc>
        <w:tc>
          <w:tcPr>
            <w:tcW w:w="1110" w:type="dxa"/>
            <w:vAlign w:val="center"/>
          </w:tcPr>
          <w:p w14:paraId="4545EBC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30" w:type="dxa"/>
            <w:vAlign w:val="center"/>
          </w:tcPr>
          <w:p w14:paraId="73AA10B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20" w:type="dxa"/>
            <w:vAlign w:val="center"/>
          </w:tcPr>
          <w:p w14:paraId="08671D5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r>
              <w:rPr>
                <w:rFonts w:hint="eastAsia" w:ascii="宋体" w:hAnsi="宋体" w:eastAsia="宋体" w:cs="宋体"/>
                <w:sz w:val="15"/>
                <w:szCs w:val="15"/>
                <w:lang w:val="en-US" w:eastAsia="zh-CN"/>
              </w:rPr>
              <w:t>总价包干</w:t>
            </w:r>
          </w:p>
        </w:tc>
      </w:tr>
      <w:tr w14:paraId="105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8" w:hRule="atLeast"/>
        </w:trPr>
        <w:tc>
          <w:tcPr>
            <w:tcW w:w="696" w:type="dxa"/>
            <w:vAlign w:val="center"/>
          </w:tcPr>
          <w:p w14:paraId="018E9139">
            <w:pPr>
              <w:tabs>
                <w:tab w:val="left" w:pos="230"/>
              </w:tabs>
              <w:spacing w:line="400" w:lineRule="exact"/>
              <w:jc w:val="center"/>
              <w:rPr>
                <w:rFonts w:hint="eastAsia" w:cs="Times New Roman" w:asciiTheme="minorEastAsia" w:hAnsiTheme="minorEastAsia" w:eastAsiaTheme="minorEastAsia"/>
                <w:kern w:val="0"/>
                <w:sz w:val="21"/>
                <w:szCs w:val="21"/>
                <w:lang w:val="en-US" w:eastAsia="zh-CN"/>
              </w:rPr>
            </w:pPr>
            <w:r>
              <w:rPr>
                <w:rFonts w:hint="eastAsia" w:cs="Times New Roman" w:asciiTheme="minorEastAsia" w:hAnsiTheme="minorEastAsia"/>
                <w:kern w:val="0"/>
                <w:sz w:val="21"/>
                <w:szCs w:val="21"/>
                <w:lang w:val="en-US" w:eastAsia="zh-CN"/>
              </w:rPr>
              <w:t>2</w:t>
            </w:r>
          </w:p>
        </w:tc>
        <w:tc>
          <w:tcPr>
            <w:tcW w:w="1770" w:type="dxa"/>
            <w:vAlign w:val="center"/>
          </w:tcPr>
          <w:p w14:paraId="1C4861E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校园内近期及远期供电规划方案优化</w:t>
            </w:r>
          </w:p>
        </w:tc>
        <w:tc>
          <w:tcPr>
            <w:tcW w:w="2810" w:type="dxa"/>
            <w:vAlign w:val="center"/>
          </w:tcPr>
          <w:p w14:paraId="3FBB7772">
            <w:pPr>
              <w:keepNext w:val="0"/>
              <w:keepLines w:val="0"/>
              <w:pageBreakBefore w:val="0"/>
              <w:widowControl w:val="0"/>
              <w:kinsoku/>
              <w:wordWrap/>
              <w:overflowPunct/>
              <w:topLinePunct w:val="0"/>
              <w:autoSpaceDE/>
              <w:autoSpaceDN/>
              <w:bidi w:val="0"/>
              <w:adjustRightInd/>
              <w:snapToGrid/>
              <w:spacing w:line="280" w:lineRule="exact"/>
              <w:ind w:firstLine="150" w:firstLineChars="100"/>
              <w:jc w:val="left"/>
              <w:textAlignment w:val="auto"/>
              <w:rPr>
                <w:rFonts w:hint="eastAsia" w:ascii="宋体" w:hAnsi="宋体" w:eastAsia="宋体" w:cs="宋体"/>
                <w:kern w:val="0"/>
                <w:sz w:val="15"/>
                <w:szCs w:val="15"/>
                <w:lang w:val="en-US" w:eastAsia="zh-CN"/>
              </w:rPr>
            </w:pPr>
            <w:r>
              <w:rPr>
                <w:rFonts w:hint="eastAsia" w:ascii="宋体" w:hAnsi="宋体" w:eastAsia="宋体" w:cs="宋体"/>
                <w:kern w:val="0"/>
                <w:sz w:val="15"/>
                <w:szCs w:val="15"/>
                <w:lang w:val="en-US" w:eastAsia="zh-CN"/>
              </w:rPr>
              <w:t>根据校园供电情况，配合业主方进行校园近期及远期供电规划方案优化，供电规划的主要内容包括：负荷测算、配电房位置及尺寸规划、各配电房供电范围规划，负责优化后供电方案和用电增容报批并取得批复文件</w:t>
            </w:r>
          </w:p>
        </w:tc>
        <w:tc>
          <w:tcPr>
            <w:tcW w:w="1110" w:type="dxa"/>
            <w:vAlign w:val="center"/>
          </w:tcPr>
          <w:p w14:paraId="13CFA21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30" w:type="dxa"/>
            <w:vAlign w:val="center"/>
          </w:tcPr>
          <w:p w14:paraId="62E22D4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20" w:type="dxa"/>
            <w:vAlign w:val="center"/>
          </w:tcPr>
          <w:p w14:paraId="4A6783A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r>
              <w:rPr>
                <w:rFonts w:hint="eastAsia" w:ascii="宋体" w:hAnsi="宋体" w:eastAsia="宋体" w:cs="宋体"/>
                <w:sz w:val="15"/>
                <w:szCs w:val="15"/>
                <w:lang w:val="en-US" w:eastAsia="zh-CN"/>
              </w:rPr>
              <w:t>总价包干</w:t>
            </w:r>
          </w:p>
        </w:tc>
      </w:tr>
      <w:tr w14:paraId="0C3B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8" w:hRule="atLeast"/>
        </w:trPr>
        <w:tc>
          <w:tcPr>
            <w:tcW w:w="696" w:type="dxa"/>
            <w:vAlign w:val="center"/>
          </w:tcPr>
          <w:p w14:paraId="3B80CB2B">
            <w:pPr>
              <w:tabs>
                <w:tab w:val="left" w:pos="230"/>
              </w:tabs>
              <w:spacing w:line="400" w:lineRule="exact"/>
              <w:jc w:val="center"/>
              <w:rPr>
                <w:rFonts w:hint="default" w:cs="Times New Roman" w:asciiTheme="minorEastAsia" w:hAnsiTheme="minorEastAsia"/>
                <w:kern w:val="0"/>
                <w:sz w:val="21"/>
                <w:szCs w:val="21"/>
                <w:lang w:val="en-US" w:eastAsia="zh-CN"/>
              </w:rPr>
            </w:pPr>
            <w:r>
              <w:rPr>
                <w:rFonts w:hint="eastAsia" w:cs="Times New Roman" w:asciiTheme="minorEastAsia" w:hAnsiTheme="minorEastAsia"/>
                <w:kern w:val="0"/>
                <w:sz w:val="21"/>
                <w:szCs w:val="21"/>
                <w:lang w:val="en-US" w:eastAsia="zh-CN"/>
              </w:rPr>
              <w:t>3</w:t>
            </w:r>
          </w:p>
        </w:tc>
        <w:tc>
          <w:tcPr>
            <w:tcW w:w="1770" w:type="dxa"/>
            <w:vAlign w:val="center"/>
          </w:tcPr>
          <w:p w14:paraId="67FDB332">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校园内增容变电所设计</w:t>
            </w:r>
          </w:p>
        </w:tc>
        <w:tc>
          <w:tcPr>
            <w:tcW w:w="2810" w:type="dxa"/>
            <w:vAlign w:val="center"/>
          </w:tcPr>
          <w:p w14:paraId="2F68B98A">
            <w:pPr>
              <w:keepNext w:val="0"/>
              <w:keepLines w:val="0"/>
              <w:pageBreakBefore w:val="0"/>
              <w:widowControl w:val="0"/>
              <w:kinsoku/>
              <w:wordWrap/>
              <w:overflowPunct/>
              <w:topLinePunct w:val="0"/>
              <w:autoSpaceDE/>
              <w:autoSpaceDN/>
              <w:bidi w:val="0"/>
              <w:adjustRightInd/>
              <w:snapToGrid/>
              <w:spacing w:line="280" w:lineRule="exact"/>
              <w:ind w:firstLine="150" w:firstLineChars="100"/>
              <w:jc w:val="left"/>
              <w:textAlignment w:val="auto"/>
              <w:rPr>
                <w:rFonts w:hint="eastAsia" w:ascii="宋体" w:hAnsi="宋体" w:eastAsia="宋体" w:cs="宋体"/>
                <w:kern w:val="0"/>
                <w:sz w:val="15"/>
                <w:szCs w:val="15"/>
              </w:rPr>
            </w:pPr>
            <w:r>
              <w:rPr>
                <w:rFonts w:hint="eastAsia" w:ascii="宋体" w:hAnsi="宋体" w:eastAsia="宋体" w:cs="宋体"/>
                <w:kern w:val="0"/>
                <w:sz w:val="15"/>
                <w:szCs w:val="15"/>
                <w:lang w:val="en-US" w:eastAsia="zh-CN"/>
              </w:rPr>
              <w:t>校园内增容变电所设计（含新建或改建变电所的土建及安装全套图纸设计），校园现有开闭所改造（如有）、开闭所至各变电所、变电所至单体配电房的供电设计，供电外线设计（如有），负责供电设计图纸图审通过</w:t>
            </w:r>
          </w:p>
        </w:tc>
        <w:tc>
          <w:tcPr>
            <w:tcW w:w="1110" w:type="dxa"/>
            <w:vAlign w:val="center"/>
          </w:tcPr>
          <w:p w14:paraId="263C2E8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30" w:type="dxa"/>
            <w:vAlign w:val="center"/>
          </w:tcPr>
          <w:p w14:paraId="0F945D0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20" w:type="dxa"/>
            <w:vAlign w:val="center"/>
          </w:tcPr>
          <w:p w14:paraId="09364D3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r>
              <w:rPr>
                <w:rFonts w:hint="eastAsia" w:ascii="宋体" w:hAnsi="宋体" w:eastAsia="宋体" w:cs="宋体"/>
                <w:sz w:val="15"/>
                <w:szCs w:val="15"/>
                <w:lang w:val="en-US" w:eastAsia="zh-CN"/>
              </w:rPr>
              <w:t>总价包干</w:t>
            </w:r>
          </w:p>
        </w:tc>
      </w:tr>
      <w:tr w14:paraId="16C7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96" w:type="dxa"/>
            <w:vAlign w:val="center"/>
          </w:tcPr>
          <w:p w14:paraId="692875C1">
            <w:pPr>
              <w:spacing w:line="400" w:lineRule="exact"/>
              <w:jc w:val="center"/>
              <w:rPr>
                <w:rFonts w:hint="default" w:cs="Times New Roman" w:asciiTheme="minorEastAsia" w:hAnsiTheme="minorEastAsia"/>
                <w:kern w:val="0"/>
                <w:sz w:val="21"/>
                <w:szCs w:val="21"/>
                <w:lang w:val="en-US" w:eastAsia="zh-CN"/>
              </w:rPr>
            </w:pPr>
            <w:r>
              <w:rPr>
                <w:rFonts w:hint="eastAsia" w:cs="Times New Roman" w:asciiTheme="minorEastAsia" w:hAnsiTheme="minorEastAsia"/>
                <w:kern w:val="0"/>
                <w:sz w:val="21"/>
                <w:szCs w:val="21"/>
                <w:lang w:val="en-US" w:eastAsia="zh-CN"/>
              </w:rPr>
              <w:t>4</w:t>
            </w:r>
          </w:p>
        </w:tc>
        <w:tc>
          <w:tcPr>
            <w:tcW w:w="1770" w:type="dxa"/>
            <w:vAlign w:val="center"/>
          </w:tcPr>
          <w:p w14:paraId="579E7C4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供电外线设计   （如有）</w:t>
            </w:r>
          </w:p>
        </w:tc>
        <w:tc>
          <w:tcPr>
            <w:tcW w:w="2810" w:type="dxa"/>
            <w:vAlign w:val="center"/>
          </w:tcPr>
          <w:p w14:paraId="74D5FD6F">
            <w:pPr>
              <w:keepNext w:val="0"/>
              <w:keepLines w:val="0"/>
              <w:pageBreakBefore w:val="0"/>
              <w:widowControl w:val="0"/>
              <w:kinsoku/>
              <w:wordWrap/>
              <w:overflowPunct/>
              <w:topLinePunct w:val="0"/>
              <w:autoSpaceDE/>
              <w:autoSpaceDN/>
              <w:bidi w:val="0"/>
              <w:adjustRightInd/>
              <w:snapToGrid/>
              <w:spacing w:line="280" w:lineRule="exact"/>
              <w:ind w:firstLine="150" w:firstLineChars="100"/>
              <w:jc w:val="left"/>
              <w:textAlignment w:val="auto"/>
              <w:rPr>
                <w:rFonts w:hint="eastAsia" w:ascii="宋体" w:hAnsi="宋体" w:eastAsia="宋体" w:cs="宋体"/>
                <w:kern w:val="0"/>
                <w:sz w:val="15"/>
                <w:szCs w:val="15"/>
                <w:lang w:val="en-US" w:eastAsia="zh-CN"/>
              </w:rPr>
            </w:pPr>
            <w:r>
              <w:rPr>
                <w:rFonts w:hint="eastAsia" w:ascii="宋体" w:hAnsi="宋体" w:eastAsia="宋体" w:cs="宋体"/>
                <w:kern w:val="0"/>
                <w:sz w:val="15"/>
                <w:szCs w:val="15"/>
                <w:lang w:val="en-US" w:eastAsia="zh-CN"/>
              </w:rPr>
              <w:t>根据供电局指定市政电源点，进行从市政电源点至校园开闭所的10kV外线施工图设计（如有），负责供电设计图纸图审通过</w:t>
            </w:r>
          </w:p>
        </w:tc>
        <w:tc>
          <w:tcPr>
            <w:tcW w:w="1110" w:type="dxa"/>
            <w:vAlign w:val="center"/>
          </w:tcPr>
          <w:p w14:paraId="23F781B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30" w:type="dxa"/>
            <w:vAlign w:val="center"/>
          </w:tcPr>
          <w:p w14:paraId="6191B05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20" w:type="dxa"/>
            <w:vAlign w:val="center"/>
          </w:tcPr>
          <w:p w14:paraId="25EAF4E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5"/>
                <w:szCs w:val="15"/>
                <w:lang w:val="en-US" w:eastAsia="zh-CN"/>
              </w:rPr>
            </w:pPr>
            <w:r>
              <w:rPr>
                <w:rFonts w:hint="eastAsia" w:ascii="宋体" w:hAnsi="宋体" w:eastAsia="宋体" w:cs="宋体"/>
                <w:kern w:val="0"/>
                <w:sz w:val="15"/>
                <w:szCs w:val="15"/>
                <w:lang w:val="en-US" w:eastAsia="zh-CN"/>
              </w:rPr>
              <w:t>暂定单回路4KM报价（最终据实结算）</w:t>
            </w:r>
          </w:p>
        </w:tc>
      </w:tr>
      <w:tr w14:paraId="217FE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96" w:type="dxa"/>
            <w:vAlign w:val="center"/>
          </w:tcPr>
          <w:p w14:paraId="592E12F7">
            <w:pPr>
              <w:spacing w:line="400" w:lineRule="exact"/>
              <w:jc w:val="center"/>
              <w:rPr>
                <w:rFonts w:hint="default" w:cs="Times New Roman" w:asciiTheme="minorEastAsia" w:hAnsiTheme="minorEastAsia"/>
                <w:kern w:val="0"/>
                <w:sz w:val="21"/>
                <w:szCs w:val="21"/>
                <w:lang w:val="en-US" w:eastAsia="zh-CN"/>
              </w:rPr>
            </w:pPr>
            <w:r>
              <w:rPr>
                <w:rFonts w:hint="eastAsia" w:cs="Times New Roman" w:asciiTheme="minorEastAsia" w:hAnsiTheme="minorEastAsia"/>
                <w:kern w:val="0"/>
                <w:sz w:val="21"/>
                <w:szCs w:val="21"/>
                <w:lang w:val="en-US" w:eastAsia="zh-CN"/>
              </w:rPr>
              <w:t>5</w:t>
            </w:r>
          </w:p>
        </w:tc>
        <w:tc>
          <w:tcPr>
            <w:tcW w:w="1770" w:type="dxa"/>
            <w:vAlign w:val="center"/>
          </w:tcPr>
          <w:p w14:paraId="1CE08FE1">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单体增容配电设计</w:t>
            </w:r>
          </w:p>
        </w:tc>
        <w:tc>
          <w:tcPr>
            <w:tcW w:w="2810" w:type="dxa"/>
            <w:vAlign w:val="center"/>
          </w:tcPr>
          <w:p w14:paraId="5558BF4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0"/>
                <w:sz w:val="15"/>
                <w:szCs w:val="15"/>
                <w:lang w:val="en-US" w:eastAsia="zh-CN"/>
              </w:rPr>
            </w:pPr>
            <w:r>
              <w:rPr>
                <w:rFonts w:hint="eastAsia" w:ascii="宋体" w:hAnsi="宋体" w:eastAsia="宋体" w:cs="宋体"/>
                <w:kern w:val="0"/>
                <w:sz w:val="15"/>
                <w:szCs w:val="15"/>
                <w:lang w:val="en-US" w:eastAsia="zh-CN"/>
              </w:rPr>
              <w:t>单体配电房总配电柜至楼层增容配电箱施工图设计</w:t>
            </w:r>
          </w:p>
        </w:tc>
        <w:tc>
          <w:tcPr>
            <w:tcW w:w="1110" w:type="dxa"/>
            <w:vAlign w:val="center"/>
          </w:tcPr>
          <w:p w14:paraId="2A1C1E0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30" w:type="dxa"/>
            <w:vAlign w:val="center"/>
          </w:tcPr>
          <w:p w14:paraId="7D35438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p>
        </w:tc>
        <w:tc>
          <w:tcPr>
            <w:tcW w:w="1120" w:type="dxa"/>
            <w:vAlign w:val="center"/>
          </w:tcPr>
          <w:p w14:paraId="2F12965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15"/>
                <w:szCs w:val="15"/>
              </w:rPr>
            </w:pPr>
            <w:r>
              <w:rPr>
                <w:rFonts w:hint="eastAsia" w:ascii="宋体" w:hAnsi="宋体" w:eastAsia="宋体" w:cs="宋体"/>
                <w:sz w:val="15"/>
                <w:szCs w:val="15"/>
                <w:lang w:val="en-US" w:eastAsia="zh-CN"/>
              </w:rPr>
              <w:t>总价包干</w:t>
            </w:r>
          </w:p>
        </w:tc>
      </w:tr>
      <w:tr w14:paraId="7A61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696" w:type="dxa"/>
            <w:vAlign w:val="center"/>
          </w:tcPr>
          <w:p w14:paraId="5C7F4343">
            <w:pPr>
              <w:spacing w:line="400" w:lineRule="exact"/>
              <w:jc w:val="center"/>
              <w:rPr>
                <w:rFonts w:hint="eastAsia" w:cs="Times New Roman" w:asciiTheme="minorEastAsia" w:hAnsiTheme="minorEastAsia" w:eastAsiaTheme="minorEastAsia"/>
                <w:kern w:val="0"/>
                <w:sz w:val="21"/>
                <w:szCs w:val="21"/>
                <w:lang w:val="en-US" w:eastAsia="zh-CN"/>
              </w:rPr>
            </w:pPr>
            <w:r>
              <w:rPr>
                <w:rFonts w:hint="eastAsia" w:cs="Times New Roman" w:asciiTheme="minorEastAsia" w:hAnsiTheme="minorEastAsia"/>
                <w:kern w:val="0"/>
                <w:sz w:val="21"/>
                <w:szCs w:val="21"/>
                <w:lang w:val="en-US" w:eastAsia="zh-CN"/>
              </w:rPr>
              <w:t>6</w:t>
            </w:r>
          </w:p>
        </w:tc>
        <w:tc>
          <w:tcPr>
            <w:tcW w:w="4580" w:type="dxa"/>
            <w:gridSpan w:val="2"/>
            <w:vAlign w:val="center"/>
          </w:tcPr>
          <w:p w14:paraId="76E3168E">
            <w:pPr>
              <w:spacing w:line="400" w:lineRule="exact"/>
              <w:jc w:val="center"/>
              <w:rPr>
                <w:rFonts w:hint="default" w:cs="Times New Roman" w:asciiTheme="minorEastAsia" w:hAnsiTheme="minorEastAsia" w:eastAsiaTheme="minorEastAsia"/>
                <w:kern w:val="0"/>
                <w:sz w:val="21"/>
                <w:szCs w:val="21"/>
                <w:lang w:val="en-US" w:eastAsia="zh-CN"/>
              </w:rPr>
            </w:pPr>
            <w:r>
              <w:rPr>
                <w:rFonts w:hint="eastAsia" w:cs="Times New Roman" w:asciiTheme="minorEastAsia" w:hAnsiTheme="minorEastAsia"/>
                <w:kern w:val="0"/>
                <w:sz w:val="21"/>
                <w:szCs w:val="21"/>
                <w:lang w:val="en-US" w:eastAsia="zh-CN"/>
              </w:rPr>
              <w:t>合  计</w:t>
            </w:r>
          </w:p>
        </w:tc>
        <w:tc>
          <w:tcPr>
            <w:tcW w:w="1110" w:type="dxa"/>
            <w:vAlign w:val="center"/>
          </w:tcPr>
          <w:p w14:paraId="6CF57CBB">
            <w:pPr>
              <w:spacing w:line="400" w:lineRule="exact"/>
              <w:jc w:val="center"/>
              <w:rPr>
                <w:rFonts w:cs="Times New Roman" w:asciiTheme="minorEastAsia" w:hAnsiTheme="minorEastAsia" w:eastAsiaTheme="minorEastAsia"/>
                <w:kern w:val="0"/>
                <w:sz w:val="21"/>
                <w:szCs w:val="21"/>
              </w:rPr>
            </w:pPr>
          </w:p>
        </w:tc>
        <w:tc>
          <w:tcPr>
            <w:tcW w:w="1130" w:type="dxa"/>
            <w:vAlign w:val="center"/>
          </w:tcPr>
          <w:p w14:paraId="4295581E">
            <w:pPr>
              <w:spacing w:line="400" w:lineRule="exact"/>
              <w:jc w:val="center"/>
              <w:rPr>
                <w:rFonts w:cs="Times New Roman" w:asciiTheme="minorEastAsia" w:hAnsiTheme="minorEastAsia" w:eastAsiaTheme="minorEastAsia"/>
                <w:kern w:val="0"/>
                <w:sz w:val="21"/>
                <w:szCs w:val="21"/>
              </w:rPr>
            </w:pPr>
          </w:p>
        </w:tc>
        <w:tc>
          <w:tcPr>
            <w:tcW w:w="1120" w:type="dxa"/>
            <w:vAlign w:val="center"/>
          </w:tcPr>
          <w:p w14:paraId="7FD54796">
            <w:pPr>
              <w:spacing w:line="400" w:lineRule="exact"/>
              <w:jc w:val="center"/>
              <w:rPr>
                <w:rFonts w:cs="Times New Roman" w:asciiTheme="minorEastAsia" w:hAnsiTheme="minorEastAsia" w:eastAsiaTheme="minorEastAsia"/>
                <w:kern w:val="0"/>
                <w:sz w:val="21"/>
                <w:szCs w:val="21"/>
              </w:rPr>
            </w:pPr>
          </w:p>
        </w:tc>
      </w:tr>
      <w:tr w14:paraId="4DCFC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8636" w:type="dxa"/>
            <w:gridSpan w:val="6"/>
            <w:vAlign w:val="center"/>
          </w:tcPr>
          <w:p w14:paraId="7B6D74B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备注</w:t>
            </w:r>
          </w:p>
          <w:p w14:paraId="648C4758">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1、此次报价设计内容包含设计任务书内全部内容。</w:t>
            </w:r>
          </w:p>
          <w:p w14:paraId="56EAECA4">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2、设计报价方式红线内采用各项总价包干；红线外按公里数报价，综合单价包干，按实结算；</w:t>
            </w:r>
          </w:p>
          <w:p w14:paraId="0D091AC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3、报价表各项单独计价单独核算，如某项需调整，不影响其它项计价和结算。</w:t>
            </w:r>
          </w:p>
          <w:p w14:paraId="525DAE6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4、设计范围后期可能个别单体略有变化，均视为优惠，不增加费用。</w:t>
            </w:r>
          </w:p>
          <w:p w14:paraId="51E7BF1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5、以上报价均为含税价</w:t>
            </w:r>
            <w:bookmarkStart w:id="0" w:name="_GoBack"/>
            <w:bookmarkEnd w:id="0"/>
            <w:r>
              <w:rPr>
                <w:rFonts w:hint="eastAsia" w:ascii="宋体" w:hAnsi="宋体" w:eastAsia="宋体" w:cs="宋体"/>
                <w:sz w:val="21"/>
                <w:szCs w:val="21"/>
                <w:lang w:val="en-US" w:eastAsia="zh-CN"/>
              </w:rPr>
              <w:t>。</w:t>
            </w:r>
          </w:p>
        </w:tc>
      </w:tr>
    </w:tbl>
    <w:p w14:paraId="5DBFC145">
      <w:pPr>
        <w:jc w:val="left"/>
        <w:rPr>
          <w:rFonts w:hint="eastAsia"/>
          <w:sz w:val="24"/>
          <w:lang w:val="en-US" w:eastAsia="zh-CN"/>
        </w:rPr>
      </w:pPr>
    </w:p>
    <w:p w14:paraId="7A617B55">
      <w:pPr>
        <w:jc w:val="left"/>
        <w:rPr>
          <w:rFonts w:hint="eastAsia"/>
          <w:sz w:val="24"/>
          <w:lang w:val="en-US" w:eastAsia="zh-CN"/>
        </w:rPr>
      </w:pPr>
      <w:r>
        <w:rPr>
          <w:rFonts w:hint="eastAsia"/>
          <w:sz w:val="24"/>
          <w:lang w:val="en-US" w:eastAsia="zh-CN"/>
        </w:rPr>
        <w:t>报价单位（盖章）：</w:t>
      </w:r>
    </w:p>
    <w:p w14:paraId="53D6EA74">
      <w:pPr>
        <w:jc w:val="left"/>
        <w:rPr>
          <w:rFonts w:hint="eastAsia"/>
          <w:sz w:val="24"/>
          <w:lang w:val="en-US" w:eastAsia="zh-CN"/>
        </w:rPr>
      </w:pPr>
      <w:r>
        <w:rPr>
          <w:rFonts w:hint="eastAsia"/>
          <w:sz w:val="24"/>
          <w:lang w:val="en-US" w:eastAsia="zh-CN"/>
        </w:rPr>
        <w:t>联系人及电话：</w:t>
      </w:r>
    </w:p>
    <w:p w14:paraId="3E048C88">
      <w:pPr>
        <w:jc w:val="left"/>
        <w:rPr>
          <w:rFonts w:hint="eastAsia"/>
          <w:sz w:val="24"/>
          <w:lang w:val="en-US" w:eastAsia="zh-CN"/>
        </w:rPr>
      </w:pPr>
      <w:r>
        <w:rPr>
          <w:rFonts w:hint="eastAsia"/>
          <w:sz w:val="24"/>
          <w:lang w:val="en-US" w:eastAsia="zh-CN"/>
        </w:rPr>
        <w:t>报价时间：</w:t>
      </w:r>
    </w:p>
    <w:p w14:paraId="3E1F64B4">
      <w:pPr>
        <w:jc w:val="center"/>
        <w:rPr>
          <w:rFonts w:hint="eastAsia"/>
          <w:sz w:val="32"/>
          <w:szCs w:val="32"/>
          <w:lang w:val="en-US" w:eastAsia="zh-CN"/>
        </w:rPr>
      </w:pPr>
    </w:p>
    <w:p w14:paraId="09A6FC4D">
      <w:pPr>
        <w:jc w:val="center"/>
        <w:rPr>
          <w:rFonts w:hint="eastAsia"/>
          <w:sz w:val="24"/>
          <w:lang w:val="en-US" w:eastAsia="zh-CN"/>
        </w:rPr>
      </w:pPr>
      <w:r>
        <w:rPr>
          <w:rFonts w:hint="eastAsia"/>
          <w:sz w:val="32"/>
          <w:szCs w:val="32"/>
          <w:lang w:val="en-US" w:eastAsia="zh-CN"/>
        </w:rPr>
        <w:t>报价说明</w:t>
      </w:r>
    </w:p>
    <w:p w14:paraId="22BEA8F0">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1、此次报价设计内容包含设计任务书内全部内容。</w:t>
      </w:r>
    </w:p>
    <w:p w14:paraId="5CD0C459">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2、设计报价方式红线内采用各项总价包干；红线外按公里数报价，综合单价包干，按实结算；</w:t>
      </w:r>
    </w:p>
    <w:p w14:paraId="762FB98F">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3、报价表各项单独计价单独核算，如某项需调整，不影响其它项计价和结算。</w:t>
      </w:r>
    </w:p>
    <w:p w14:paraId="42BC4B6E">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4、设计范围后期可能个别单体略有变化，均视为优惠，不增加费用。</w:t>
      </w:r>
    </w:p>
    <w:p w14:paraId="06DC42F6">
      <w:pPr>
        <w:tabs>
          <w:tab w:val="left" w:pos="5580"/>
        </w:tabs>
        <w:spacing w:line="520" w:lineRule="exact"/>
        <w:ind w:firstLine="403" w:firstLineChars="192"/>
        <w:rPr>
          <w:rFonts w:hint="eastAsia" w:ascii="宋体" w:hAnsi="宋体" w:eastAsia="宋体" w:cs="宋体"/>
          <w:bCs/>
          <w:sz w:val="21"/>
          <w:szCs w:val="21"/>
          <w:lang w:val="en-US" w:eastAsia="zh-CN"/>
        </w:rPr>
      </w:pPr>
      <w:r>
        <w:rPr>
          <w:rFonts w:hint="eastAsia" w:ascii="宋体" w:hAnsi="宋体" w:eastAsia="宋体" w:cs="宋体"/>
          <w:color w:val="0000FF"/>
          <w:sz w:val="21"/>
          <w:szCs w:val="21"/>
          <w:lang w:val="en-US" w:eastAsia="zh-CN"/>
        </w:rPr>
        <w:t>5、</w:t>
      </w:r>
      <w:r>
        <w:rPr>
          <w:rFonts w:hint="eastAsia" w:ascii="宋体" w:hAnsi="宋体" w:eastAsia="宋体" w:cs="宋体"/>
          <w:bCs/>
          <w:sz w:val="21"/>
          <w:szCs w:val="21"/>
          <w:lang w:val="en-US" w:eastAsia="zh-CN"/>
        </w:rPr>
        <w:t xml:space="preserve">项目付款方式： </w:t>
      </w:r>
    </w:p>
    <w:p w14:paraId="69FAEE1B">
      <w:pPr>
        <w:spacing w:line="320" w:lineRule="exact"/>
        <w:ind w:firstLine="630" w:firstLineChars="300"/>
        <w:rPr>
          <w:rFonts w:hint="eastAsia" w:ascii="宋体" w:hAnsi="宋体" w:eastAsia="宋体" w:cs="宋体"/>
          <w:sz w:val="21"/>
          <w:szCs w:val="21"/>
        </w:rPr>
      </w:pPr>
      <w:r>
        <w:rPr>
          <w:rFonts w:hint="eastAsia" w:ascii="宋体" w:hAnsi="宋体" w:eastAsia="宋体" w:cs="宋体"/>
          <w:sz w:val="21"/>
          <w:szCs w:val="21"/>
          <w:lang w:val="en-US" w:eastAsia="zh-CN"/>
        </w:rPr>
        <w:t>5.1</w:t>
      </w:r>
      <w:r>
        <w:rPr>
          <w:rFonts w:hint="eastAsia" w:ascii="宋体" w:hAnsi="宋体" w:eastAsia="宋体" w:cs="宋体"/>
          <w:kern w:val="2"/>
          <w:sz w:val="21"/>
          <w:szCs w:val="21"/>
          <w:lang w:val="en-US" w:eastAsia="zh-CN"/>
        </w:rPr>
        <w:t>校园现状供电进行梳理费用</w:t>
      </w:r>
      <w:r>
        <w:rPr>
          <w:rFonts w:hint="eastAsia" w:ascii="宋体" w:hAnsi="宋体" w:eastAsia="宋体" w:cs="宋体"/>
          <w:sz w:val="21"/>
          <w:szCs w:val="21"/>
        </w:rPr>
        <w:t>支付方式详见下表。</w:t>
      </w:r>
    </w:p>
    <w:tbl>
      <w:tblPr>
        <w:tblStyle w:val="5"/>
        <w:tblW w:w="87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45" w:type="dxa"/>
          <w:bottom w:w="0" w:type="dxa"/>
          <w:right w:w="45" w:type="dxa"/>
        </w:tblCellMar>
      </w:tblPr>
      <w:tblGrid>
        <w:gridCol w:w="1141"/>
        <w:gridCol w:w="2538"/>
        <w:gridCol w:w="5040"/>
      </w:tblGrid>
      <w:tr w14:paraId="01D67F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exact"/>
          <w:jc w:val="center"/>
        </w:trPr>
        <w:tc>
          <w:tcPr>
            <w:tcW w:w="1141" w:type="dxa"/>
            <w:noWrap w:val="0"/>
            <w:vAlign w:val="center"/>
          </w:tcPr>
          <w:p w14:paraId="10F6DF6D">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付费次序</w:t>
            </w:r>
          </w:p>
        </w:tc>
        <w:tc>
          <w:tcPr>
            <w:tcW w:w="2538" w:type="dxa"/>
            <w:noWrap w:val="0"/>
            <w:vAlign w:val="center"/>
          </w:tcPr>
          <w:p w14:paraId="62A48554">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占</w:t>
            </w:r>
            <w:r>
              <w:rPr>
                <w:rFonts w:hint="eastAsia" w:ascii="宋体" w:hAnsi="宋体" w:eastAsia="宋体" w:cs="宋体"/>
                <w:sz w:val="18"/>
                <w:szCs w:val="18"/>
                <w:lang w:val="en-US" w:eastAsia="zh-CN"/>
              </w:rPr>
              <w:t>该项费用</w:t>
            </w:r>
            <w:r>
              <w:rPr>
                <w:rFonts w:hint="eastAsia" w:ascii="宋体" w:hAnsi="宋体" w:eastAsia="宋体" w:cs="宋体"/>
                <w:sz w:val="18"/>
                <w:szCs w:val="18"/>
              </w:rPr>
              <w:t>比例</w:t>
            </w:r>
          </w:p>
        </w:tc>
        <w:tc>
          <w:tcPr>
            <w:tcW w:w="5040" w:type="dxa"/>
            <w:noWrap w:val="0"/>
            <w:vAlign w:val="center"/>
          </w:tcPr>
          <w:p w14:paraId="58AABCA5">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付费时间</w:t>
            </w:r>
          </w:p>
          <w:p w14:paraId="7FB739E9">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（由交付设计文件所决定）</w:t>
            </w:r>
          </w:p>
        </w:tc>
      </w:tr>
      <w:tr w14:paraId="15466F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351" w:hRule="exact"/>
          <w:jc w:val="center"/>
        </w:trPr>
        <w:tc>
          <w:tcPr>
            <w:tcW w:w="1141" w:type="dxa"/>
            <w:noWrap w:val="0"/>
            <w:vAlign w:val="center"/>
          </w:tcPr>
          <w:p w14:paraId="3BE296E6">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 xml:space="preserve"> 第一次付费</w:t>
            </w:r>
          </w:p>
        </w:tc>
        <w:tc>
          <w:tcPr>
            <w:tcW w:w="2538" w:type="dxa"/>
            <w:noWrap w:val="0"/>
            <w:vAlign w:val="center"/>
          </w:tcPr>
          <w:p w14:paraId="74FB14A2">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val="en-US" w:eastAsia="zh-CN"/>
              </w:rPr>
              <w:t>70</w:t>
            </w:r>
            <w:r>
              <w:rPr>
                <w:rFonts w:hint="eastAsia" w:ascii="宋体" w:hAnsi="宋体" w:eastAsia="宋体" w:cs="宋体"/>
                <w:sz w:val="18"/>
                <w:szCs w:val="18"/>
              </w:rPr>
              <w:t>%</w:t>
            </w:r>
          </w:p>
        </w:tc>
        <w:tc>
          <w:tcPr>
            <w:tcW w:w="5040" w:type="dxa"/>
            <w:noWrap w:val="0"/>
            <w:vAlign w:val="center"/>
          </w:tcPr>
          <w:p w14:paraId="1EA7D9A2">
            <w:pPr>
              <w:spacing w:line="280" w:lineRule="exact"/>
              <w:ind w:right="21" w:rightChars="10"/>
              <w:rPr>
                <w:rFonts w:hint="eastAsia" w:ascii="宋体" w:hAnsi="宋体" w:eastAsia="宋体" w:cs="宋体"/>
                <w:sz w:val="18"/>
                <w:szCs w:val="18"/>
                <w:lang w:val="en-US"/>
              </w:rPr>
            </w:pPr>
            <w:r>
              <w:rPr>
                <w:rFonts w:hint="eastAsia" w:ascii="宋体" w:hAnsi="宋体" w:eastAsia="宋体" w:cs="宋体"/>
                <w:kern w:val="0"/>
                <w:sz w:val="18"/>
                <w:szCs w:val="18"/>
                <w:lang w:val="en-US" w:eastAsia="zh-CN"/>
              </w:rPr>
              <w:t>完成甲方所需求的供电梳理，并经甲方</w:t>
            </w:r>
            <w:r>
              <w:rPr>
                <w:rFonts w:hint="eastAsia" w:ascii="宋体" w:hAnsi="宋体" w:eastAsia="宋体" w:cs="宋体"/>
                <w:bCs/>
                <w:sz w:val="18"/>
                <w:szCs w:val="18"/>
                <w:lang w:val="en-US" w:eastAsia="zh-CN"/>
              </w:rPr>
              <w:t>审核确认后10个工作日</w:t>
            </w:r>
          </w:p>
        </w:tc>
      </w:tr>
      <w:tr w14:paraId="1C7A9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exact"/>
          <w:jc w:val="center"/>
        </w:trPr>
        <w:tc>
          <w:tcPr>
            <w:tcW w:w="1141" w:type="dxa"/>
            <w:noWrap w:val="0"/>
            <w:vAlign w:val="center"/>
          </w:tcPr>
          <w:p w14:paraId="757CCA2E">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第二次付费</w:t>
            </w:r>
          </w:p>
        </w:tc>
        <w:tc>
          <w:tcPr>
            <w:tcW w:w="2538" w:type="dxa"/>
            <w:noWrap w:val="0"/>
            <w:vAlign w:val="center"/>
          </w:tcPr>
          <w:p w14:paraId="59379A49">
            <w:pPr>
              <w:spacing w:line="280" w:lineRule="exact"/>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val="en-US" w:eastAsia="zh-CN"/>
              </w:rPr>
              <w:t>100</w:t>
            </w:r>
            <w:r>
              <w:rPr>
                <w:rFonts w:hint="eastAsia" w:ascii="宋体" w:hAnsi="宋体" w:eastAsia="宋体" w:cs="宋体"/>
                <w:sz w:val="18"/>
                <w:szCs w:val="18"/>
              </w:rPr>
              <w:t>%</w:t>
            </w:r>
          </w:p>
        </w:tc>
        <w:tc>
          <w:tcPr>
            <w:tcW w:w="5040" w:type="dxa"/>
            <w:noWrap w:val="0"/>
            <w:vAlign w:val="center"/>
          </w:tcPr>
          <w:p w14:paraId="44F2B0CE">
            <w:pPr>
              <w:spacing w:line="280" w:lineRule="exact"/>
              <w:rPr>
                <w:rFonts w:hint="default" w:ascii="宋体" w:hAnsi="宋体" w:eastAsia="宋体" w:cs="宋体"/>
                <w:sz w:val="18"/>
                <w:szCs w:val="18"/>
              </w:rPr>
            </w:pPr>
            <w:r>
              <w:rPr>
                <w:rFonts w:hint="eastAsia" w:ascii="宋体" w:hAnsi="宋体" w:eastAsia="宋体" w:cs="宋体"/>
                <w:kern w:val="0"/>
                <w:sz w:val="18"/>
                <w:szCs w:val="18"/>
                <w:lang w:val="en-US" w:eastAsia="zh-CN"/>
              </w:rPr>
              <w:t>校园内近期及远期供电规划方案和用电增容报批相关部门并取得批复文件后，经甲方</w:t>
            </w:r>
            <w:r>
              <w:rPr>
                <w:rFonts w:hint="eastAsia" w:ascii="宋体" w:hAnsi="宋体" w:eastAsia="宋体" w:cs="宋体"/>
                <w:bCs/>
                <w:sz w:val="18"/>
                <w:szCs w:val="18"/>
                <w:lang w:val="en-US" w:eastAsia="zh-CN"/>
              </w:rPr>
              <w:t>审核确认后10个工作日</w:t>
            </w:r>
          </w:p>
        </w:tc>
      </w:tr>
    </w:tbl>
    <w:p w14:paraId="7B14CE91">
      <w:pPr>
        <w:spacing w:line="320" w:lineRule="exact"/>
        <w:rPr>
          <w:rFonts w:hint="eastAsia" w:ascii="宋体" w:hAnsi="宋体" w:eastAsia="宋体" w:cs="宋体"/>
          <w:sz w:val="24"/>
        </w:rPr>
      </w:pPr>
    </w:p>
    <w:p w14:paraId="5531DF1A">
      <w:pPr>
        <w:spacing w:line="320" w:lineRule="exact"/>
        <w:ind w:firstLine="630" w:firstLineChars="3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.2</w:t>
      </w:r>
      <w:r>
        <w:rPr>
          <w:rFonts w:hint="eastAsia" w:ascii="宋体" w:hAnsi="宋体" w:eastAsia="宋体" w:cs="宋体"/>
          <w:kern w:val="0"/>
          <w:sz w:val="21"/>
          <w:szCs w:val="21"/>
          <w:lang w:val="en-US" w:eastAsia="zh-CN"/>
        </w:rPr>
        <w:t>校园内近期及远期供电规划方案优化费用</w:t>
      </w:r>
      <w:r>
        <w:rPr>
          <w:rFonts w:hint="eastAsia" w:ascii="宋体" w:hAnsi="宋体" w:eastAsia="宋体" w:cs="宋体"/>
          <w:sz w:val="21"/>
          <w:szCs w:val="21"/>
        </w:rPr>
        <w:t>支付方式详见下表。</w:t>
      </w:r>
    </w:p>
    <w:tbl>
      <w:tblPr>
        <w:tblStyle w:val="5"/>
        <w:tblW w:w="875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45" w:type="dxa"/>
          <w:bottom w:w="0" w:type="dxa"/>
          <w:right w:w="45" w:type="dxa"/>
        </w:tblCellMar>
      </w:tblPr>
      <w:tblGrid>
        <w:gridCol w:w="1156"/>
        <w:gridCol w:w="2540"/>
        <w:gridCol w:w="5057"/>
      </w:tblGrid>
      <w:tr w14:paraId="2ECF0C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atLeast"/>
          <w:jc w:val="center"/>
        </w:trPr>
        <w:tc>
          <w:tcPr>
            <w:tcW w:w="1156" w:type="dxa"/>
            <w:tcBorders>
              <w:top w:val="single" w:color="000000" w:sz="6" w:space="0"/>
              <w:left w:val="single" w:color="000000" w:sz="6" w:space="0"/>
              <w:bottom w:val="single" w:color="000000" w:sz="6" w:space="0"/>
              <w:right w:val="single" w:color="000000" w:sz="6" w:space="0"/>
            </w:tcBorders>
            <w:noWrap w:val="0"/>
            <w:vAlign w:val="center"/>
          </w:tcPr>
          <w:p w14:paraId="38F69CDE">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付费次序</w:t>
            </w:r>
          </w:p>
        </w:tc>
        <w:tc>
          <w:tcPr>
            <w:tcW w:w="2540" w:type="dxa"/>
            <w:tcBorders>
              <w:top w:val="single" w:color="000000" w:sz="6" w:space="0"/>
              <w:left w:val="single" w:color="000000" w:sz="6" w:space="0"/>
              <w:bottom w:val="single" w:color="000000" w:sz="6" w:space="0"/>
              <w:right w:val="single" w:color="000000" w:sz="6" w:space="0"/>
            </w:tcBorders>
            <w:noWrap w:val="0"/>
            <w:vAlign w:val="center"/>
          </w:tcPr>
          <w:p w14:paraId="50768A8A">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占</w:t>
            </w:r>
            <w:r>
              <w:rPr>
                <w:rFonts w:hint="eastAsia" w:ascii="宋体" w:hAnsi="宋体" w:eastAsia="宋体" w:cs="宋体"/>
                <w:sz w:val="18"/>
                <w:szCs w:val="18"/>
                <w:lang w:val="en-US" w:eastAsia="zh-CN"/>
              </w:rPr>
              <w:t>该项费用</w:t>
            </w:r>
            <w:r>
              <w:rPr>
                <w:rFonts w:hint="eastAsia" w:ascii="宋体" w:hAnsi="宋体" w:eastAsia="宋体" w:cs="宋体"/>
                <w:sz w:val="18"/>
                <w:szCs w:val="18"/>
              </w:rPr>
              <w:t>比例</w:t>
            </w:r>
          </w:p>
        </w:tc>
        <w:tc>
          <w:tcPr>
            <w:tcW w:w="5057" w:type="dxa"/>
            <w:tcBorders>
              <w:top w:val="single" w:color="000000" w:sz="6" w:space="0"/>
              <w:left w:val="single" w:color="000000" w:sz="6" w:space="0"/>
              <w:bottom w:val="single" w:color="000000" w:sz="6" w:space="0"/>
              <w:right w:val="single" w:color="000000" w:sz="6" w:space="0"/>
            </w:tcBorders>
            <w:noWrap w:val="0"/>
            <w:vAlign w:val="center"/>
          </w:tcPr>
          <w:p w14:paraId="2549A032">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付费时间</w:t>
            </w:r>
          </w:p>
          <w:p w14:paraId="277F8CD6">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（由交付设计文件所决定）</w:t>
            </w:r>
          </w:p>
        </w:tc>
      </w:tr>
      <w:tr w14:paraId="00470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atLeast"/>
          <w:jc w:val="center"/>
        </w:trPr>
        <w:tc>
          <w:tcPr>
            <w:tcW w:w="1156" w:type="dxa"/>
            <w:tcBorders>
              <w:top w:val="single" w:color="000000" w:sz="6" w:space="0"/>
              <w:left w:val="single" w:color="000000" w:sz="6" w:space="0"/>
              <w:bottom w:val="single" w:color="000000" w:sz="6" w:space="0"/>
              <w:right w:val="single" w:color="000000" w:sz="6" w:space="0"/>
            </w:tcBorders>
            <w:noWrap w:val="0"/>
            <w:vAlign w:val="center"/>
          </w:tcPr>
          <w:p w14:paraId="3675A604">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 xml:space="preserve"> 第一次付费</w:t>
            </w:r>
          </w:p>
        </w:tc>
        <w:tc>
          <w:tcPr>
            <w:tcW w:w="2540" w:type="dxa"/>
            <w:tcBorders>
              <w:top w:val="single" w:color="000000" w:sz="6" w:space="0"/>
              <w:left w:val="single" w:color="000000" w:sz="6" w:space="0"/>
              <w:bottom w:val="single" w:color="000000" w:sz="6" w:space="0"/>
              <w:right w:val="single" w:color="000000" w:sz="6" w:space="0"/>
            </w:tcBorders>
            <w:noWrap w:val="0"/>
            <w:vAlign w:val="center"/>
          </w:tcPr>
          <w:p w14:paraId="17E78A68">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val="en-US" w:eastAsia="zh-CN"/>
              </w:rPr>
              <w:t>7</w:t>
            </w:r>
            <w:r>
              <w:rPr>
                <w:rFonts w:hint="eastAsia" w:ascii="宋体" w:hAnsi="宋体" w:eastAsia="宋体" w:cs="宋体"/>
                <w:sz w:val="18"/>
                <w:szCs w:val="18"/>
              </w:rPr>
              <w:t>0%</w:t>
            </w:r>
          </w:p>
        </w:tc>
        <w:tc>
          <w:tcPr>
            <w:tcW w:w="5057" w:type="dxa"/>
            <w:tcBorders>
              <w:top w:val="single" w:color="000000" w:sz="6" w:space="0"/>
              <w:left w:val="single" w:color="000000" w:sz="6" w:space="0"/>
              <w:bottom w:val="single" w:color="000000" w:sz="6" w:space="0"/>
              <w:right w:val="single" w:color="000000" w:sz="6" w:space="0"/>
            </w:tcBorders>
            <w:noWrap w:val="0"/>
            <w:vAlign w:val="center"/>
          </w:tcPr>
          <w:p w14:paraId="6F096BAA">
            <w:pPr>
              <w:spacing w:line="280" w:lineRule="exact"/>
              <w:ind w:right="21" w:rightChars="10"/>
              <w:jc w:val="left"/>
              <w:rPr>
                <w:rFonts w:hint="default" w:ascii="宋体" w:hAnsi="宋体" w:eastAsia="宋体" w:cs="宋体"/>
                <w:sz w:val="18"/>
                <w:szCs w:val="18"/>
              </w:rPr>
            </w:pPr>
            <w:r>
              <w:rPr>
                <w:rFonts w:hint="eastAsia" w:ascii="宋体" w:hAnsi="宋体" w:eastAsia="宋体" w:cs="宋体"/>
                <w:kern w:val="0"/>
                <w:sz w:val="18"/>
                <w:szCs w:val="18"/>
                <w:lang w:val="en-US" w:eastAsia="zh-CN"/>
              </w:rPr>
              <w:t>优化后供电方案和用电增容报批相关部门并取得批复文件后，经甲方</w:t>
            </w:r>
            <w:r>
              <w:rPr>
                <w:rFonts w:hint="eastAsia" w:ascii="宋体" w:hAnsi="宋体" w:eastAsia="宋体" w:cs="宋体"/>
                <w:bCs/>
                <w:sz w:val="18"/>
                <w:szCs w:val="18"/>
                <w:lang w:val="en-US" w:eastAsia="zh-CN"/>
              </w:rPr>
              <w:t>审核确认后10个工作日</w:t>
            </w:r>
          </w:p>
        </w:tc>
      </w:tr>
      <w:tr w14:paraId="469C4B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atLeast"/>
          <w:jc w:val="center"/>
        </w:trPr>
        <w:tc>
          <w:tcPr>
            <w:tcW w:w="1156" w:type="dxa"/>
            <w:tcBorders>
              <w:top w:val="single" w:color="000000" w:sz="6" w:space="0"/>
              <w:left w:val="single" w:color="000000" w:sz="6" w:space="0"/>
              <w:bottom w:val="single" w:color="000000" w:sz="6" w:space="0"/>
              <w:right w:val="single" w:color="000000" w:sz="6" w:space="0"/>
            </w:tcBorders>
            <w:noWrap w:val="0"/>
            <w:vAlign w:val="center"/>
          </w:tcPr>
          <w:p w14:paraId="23E6E4D6">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第二次付费</w:t>
            </w:r>
          </w:p>
        </w:tc>
        <w:tc>
          <w:tcPr>
            <w:tcW w:w="2540" w:type="dxa"/>
            <w:tcBorders>
              <w:top w:val="single" w:color="000000" w:sz="6" w:space="0"/>
              <w:left w:val="single" w:color="000000" w:sz="6" w:space="0"/>
              <w:bottom w:val="single" w:color="000000" w:sz="6" w:space="0"/>
              <w:right w:val="single" w:color="000000" w:sz="6" w:space="0"/>
            </w:tcBorders>
            <w:noWrap w:val="0"/>
            <w:vAlign w:val="center"/>
          </w:tcPr>
          <w:p w14:paraId="42B1ED3D">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eastAsia="zh-CN"/>
              </w:rPr>
              <w:t>1</w:t>
            </w:r>
            <w:r>
              <w:rPr>
                <w:rFonts w:hint="eastAsia" w:ascii="宋体" w:hAnsi="宋体" w:eastAsia="宋体" w:cs="宋体"/>
                <w:sz w:val="18"/>
                <w:szCs w:val="18"/>
                <w:lang w:val="en-US" w:eastAsia="zh-CN"/>
              </w:rPr>
              <w:t>00</w:t>
            </w:r>
            <w:r>
              <w:rPr>
                <w:rFonts w:hint="eastAsia" w:ascii="宋体" w:hAnsi="宋体" w:eastAsia="宋体" w:cs="宋体"/>
                <w:sz w:val="18"/>
                <w:szCs w:val="18"/>
              </w:rPr>
              <w:t>%</w:t>
            </w:r>
          </w:p>
        </w:tc>
        <w:tc>
          <w:tcPr>
            <w:tcW w:w="5057" w:type="dxa"/>
            <w:tcBorders>
              <w:top w:val="single" w:color="000000" w:sz="6" w:space="0"/>
              <w:left w:val="single" w:color="000000" w:sz="6" w:space="0"/>
              <w:bottom w:val="single" w:color="000000" w:sz="6" w:space="0"/>
              <w:right w:val="single" w:color="000000" w:sz="6" w:space="0"/>
            </w:tcBorders>
            <w:noWrap w:val="0"/>
            <w:vAlign w:val="center"/>
          </w:tcPr>
          <w:p w14:paraId="2AC7D564">
            <w:pPr>
              <w:spacing w:line="280" w:lineRule="exact"/>
              <w:ind w:right="21" w:rightChars="10"/>
              <w:jc w:val="left"/>
              <w:rPr>
                <w:rFonts w:hint="eastAsia" w:ascii="宋体" w:hAnsi="宋体" w:eastAsia="宋体" w:cs="宋体"/>
                <w:sz w:val="18"/>
                <w:szCs w:val="18"/>
              </w:rPr>
            </w:pPr>
            <w:r>
              <w:rPr>
                <w:rFonts w:hint="eastAsia" w:ascii="宋体" w:hAnsi="宋体" w:eastAsia="宋体" w:cs="宋体"/>
                <w:kern w:val="0"/>
                <w:sz w:val="18"/>
                <w:szCs w:val="18"/>
                <w:lang w:val="en-US" w:eastAsia="zh-CN"/>
              </w:rPr>
              <w:t>校园内增容变电所供电设计图纸图审通过，经甲方</w:t>
            </w:r>
            <w:r>
              <w:rPr>
                <w:rFonts w:hint="eastAsia" w:ascii="宋体" w:hAnsi="宋体" w:eastAsia="宋体" w:cs="宋体"/>
                <w:bCs/>
                <w:sz w:val="18"/>
                <w:szCs w:val="18"/>
                <w:lang w:val="en-US" w:eastAsia="zh-CN"/>
              </w:rPr>
              <w:t>审核确认后10个工作日</w:t>
            </w:r>
          </w:p>
        </w:tc>
      </w:tr>
    </w:tbl>
    <w:p w14:paraId="6BEDAD36">
      <w:pPr>
        <w:spacing w:line="320" w:lineRule="exact"/>
        <w:rPr>
          <w:rFonts w:hint="eastAsia" w:ascii="宋体" w:hAnsi="宋体" w:eastAsia="宋体" w:cs="宋体"/>
          <w:sz w:val="24"/>
          <w:lang w:val="en-US" w:eastAsia="zh-CN"/>
        </w:rPr>
      </w:pPr>
    </w:p>
    <w:p w14:paraId="57188304">
      <w:pPr>
        <w:spacing w:line="32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.3</w:t>
      </w:r>
      <w:r>
        <w:rPr>
          <w:rFonts w:hint="eastAsia" w:ascii="宋体" w:hAnsi="宋体" w:eastAsia="宋体" w:cs="宋体"/>
          <w:kern w:val="0"/>
          <w:sz w:val="21"/>
          <w:szCs w:val="21"/>
          <w:lang w:val="en-US" w:eastAsia="zh-CN"/>
        </w:rPr>
        <w:t>校园内增容变电所设计费</w:t>
      </w:r>
      <w:r>
        <w:rPr>
          <w:rFonts w:hint="eastAsia" w:ascii="宋体" w:hAnsi="宋体" w:eastAsia="宋体" w:cs="宋体"/>
          <w:sz w:val="21"/>
          <w:szCs w:val="21"/>
        </w:rPr>
        <w:t>支付方式详见下表。</w:t>
      </w:r>
    </w:p>
    <w:tbl>
      <w:tblPr>
        <w:tblStyle w:val="5"/>
        <w:tblW w:w="87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45" w:type="dxa"/>
          <w:bottom w:w="0" w:type="dxa"/>
          <w:right w:w="45" w:type="dxa"/>
        </w:tblCellMar>
      </w:tblPr>
      <w:tblGrid>
        <w:gridCol w:w="1159"/>
        <w:gridCol w:w="2538"/>
        <w:gridCol w:w="5040"/>
      </w:tblGrid>
      <w:tr w14:paraId="1AFE6E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exact"/>
          <w:jc w:val="center"/>
        </w:trPr>
        <w:tc>
          <w:tcPr>
            <w:tcW w:w="1159" w:type="dxa"/>
            <w:tcBorders>
              <w:top w:val="single" w:color="000000" w:sz="6" w:space="0"/>
              <w:left w:val="single" w:color="000000" w:sz="6" w:space="0"/>
              <w:bottom w:val="single" w:color="000000" w:sz="6" w:space="0"/>
              <w:right w:val="single" w:color="000000" w:sz="6" w:space="0"/>
            </w:tcBorders>
            <w:noWrap w:val="0"/>
            <w:vAlign w:val="center"/>
          </w:tcPr>
          <w:p w14:paraId="285FB0EF">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付费次序</w:t>
            </w:r>
          </w:p>
        </w:tc>
        <w:tc>
          <w:tcPr>
            <w:tcW w:w="2538" w:type="dxa"/>
            <w:tcBorders>
              <w:top w:val="single" w:color="000000" w:sz="6" w:space="0"/>
              <w:left w:val="single" w:color="000000" w:sz="6" w:space="0"/>
              <w:bottom w:val="single" w:color="000000" w:sz="6" w:space="0"/>
              <w:right w:val="single" w:color="000000" w:sz="6" w:space="0"/>
            </w:tcBorders>
            <w:noWrap w:val="0"/>
            <w:vAlign w:val="center"/>
          </w:tcPr>
          <w:p w14:paraId="2D946EE8">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占</w:t>
            </w:r>
            <w:r>
              <w:rPr>
                <w:rFonts w:hint="eastAsia" w:ascii="宋体" w:hAnsi="宋体" w:eastAsia="宋体" w:cs="宋体"/>
                <w:sz w:val="18"/>
                <w:szCs w:val="18"/>
                <w:lang w:val="en-US" w:eastAsia="zh-CN"/>
              </w:rPr>
              <w:t>该项费用</w:t>
            </w:r>
            <w:r>
              <w:rPr>
                <w:rFonts w:hint="eastAsia" w:ascii="宋体" w:hAnsi="宋体" w:eastAsia="宋体" w:cs="宋体"/>
                <w:sz w:val="18"/>
                <w:szCs w:val="18"/>
              </w:rPr>
              <w:t>比例</w:t>
            </w:r>
          </w:p>
        </w:tc>
        <w:tc>
          <w:tcPr>
            <w:tcW w:w="5040" w:type="dxa"/>
            <w:tcBorders>
              <w:top w:val="single" w:color="000000" w:sz="6" w:space="0"/>
              <w:left w:val="single" w:color="000000" w:sz="6" w:space="0"/>
              <w:bottom w:val="single" w:color="000000" w:sz="6" w:space="0"/>
              <w:right w:val="single" w:color="000000" w:sz="6" w:space="0"/>
            </w:tcBorders>
            <w:noWrap w:val="0"/>
            <w:vAlign w:val="center"/>
          </w:tcPr>
          <w:p w14:paraId="0E35442F">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付费时间</w:t>
            </w:r>
          </w:p>
          <w:p w14:paraId="2DE573A0">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（由交付设计文件所决定）</w:t>
            </w:r>
          </w:p>
        </w:tc>
      </w:tr>
      <w:tr w14:paraId="28B82B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exact"/>
          <w:jc w:val="center"/>
        </w:trPr>
        <w:tc>
          <w:tcPr>
            <w:tcW w:w="1159" w:type="dxa"/>
            <w:tcBorders>
              <w:top w:val="single" w:color="000000" w:sz="6" w:space="0"/>
              <w:left w:val="single" w:color="000000" w:sz="6" w:space="0"/>
              <w:bottom w:val="single" w:color="000000" w:sz="6" w:space="0"/>
              <w:right w:val="single" w:color="000000" w:sz="6" w:space="0"/>
            </w:tcBorders>
            <w:noWrap w:val="0"/>
            <w:vAlign w:val="center"/>
          </w:tcPr>
          <w:p w14:paraId="3778CE95">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 xml:space="preserve"> 第一次付费</w:t>
            </w:r>
          </w:p>
        </w:tc>
        <w:tc>
          <w:tcPr>
            <w:tcW w:w="2538" w:type="dxa"/>
            <w:tcBorders>
              <w:top w:val="single" w:color="000000" w:sz="6" w:space="0"/>
              <w:left w:val="single" w:color="000000" w:sz="6" w:space="0"/>
              <w:bottom w:val="single" w:color="000000" w:sz="6" w:space="0"/>
              <w:right w:val="single" w:color="000000" w:sz="6" w:space="0"/>
            </w:tcBorders>
            <w:noWrap w:val="0"/>
            <w:vAlign w:val="center"/>
          </w:tcPr>
          <w:p w14:paraId="323A322F">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val="en-US" w:eastAsia="zh-CN"/>
              </w:rPr>
              <w:t>7</w:t>
            </w:r>
            <w:r>
              <w:rPr>
                <w:rFonts w:hint="eastAsia" w:ascii="宋体" w:hAnsi="宋体" w:eastAsia="宋体" w:cs="宋体"/>
                <w:sz w:val="18"/>
                <w:szCs w:val="18"/>
              </w:rPr>
              <w:t>0%</w:t>
            </w:r>
          </w:p>
        </w:tc>
        <w:tc>
          <w:tcPr>
            <w:tcW w:w="5040" w:type="dxa"/>
            <w:tcBorders>
              <w:top w:val="single" w:color="000000" w:sz="6" w:space="0"/>
              <w:left w:val="single" w:color="000000" w:sz="6" w:space="0"/>
              <w:bottom w:val="single" w:color="000000" w:sz="6" w:space="0"/>
              <w:right w:val="single" w:color="000000" w:sz="6" w:space="0"/>
            </w:tcBorders>
            <w:noWrap w:val="0"/>
            <w:vAlign w:val="center"/>
          </w:tcPr>
          <w:p w14:paraId="42129BC5">
            <w:pPr>
              <w:spacing w:line="280" w:lineRule="exact"/>
              <w:ind w:right="21" w:rightChars="10"/>
              <w:jc w:val="left"/>
              <w:rPr>
                <w:rFonts w:hint="eastAsia" w:ascii="宋体" w:hAnsi="宋体" w:eastAsia="宋体" w:cs="宋体"/>
                <w:sz w:val="18"/>
                <w:szCs w:val="18"/>
              </w:rPr>
            </w:pPr>
            <w:r>
              <w:rPr>
                <w:rFonts w:hint="eastAsia" w:ascii="宋体" w:hAnsi="宋体" w:eastAsia="宋体" w:cs="宋体"/>
                <w:kern w:val="0"/>
                <w:sz w:val="18"/>
                <w:szCs w:val="18"/>
                <w:lang w:val="en-US" w:eastAsia="zh-CN"/>
              </w:rPr>
              <w:t>校园内增容变电所供电设计图纸图审通过，经甲方</w:t>
            </w:r>
            <w:r>
              <w:rPr>
                <w:rFonts w:hint="eastAsia" w:ascii="宋体" w:hAnsi="宋体" w:eastAsia="宋体" w:cs="宋体"/>
                <w:bCs/>
                <w:sz w:val="18"/>
                <w:szCs w:val="18"/>
                <w:lang w:val="en-US" w:eastAsia="zh-CN"/>
              </w:rPr>
              <w:t>审核确认后10个工作日</w:t>
            </w:r>
          </w:p>
        </w:tc>
      </w:tr>
      <w:tr w14:paraId="0C7D4D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663" w:hRule="exact"/>
          <w:jc w:val="center"/>
        </w:trPr>
        <w:tc>
          <w:tcPr>
            <w:tcW w:w="1159" w:type="dxa"/>
            <w:tcBorders>
              <w:top w:val="single" w:color="000000" w:sz="6" w:space="0"/>
              <w:left w:val="single" w:color="000000" w:sz="6" w:space="0"/>
              <w:bottom w:val="single" w:color="000000" w:sz="6" w:space="0"/>
              <w:right w:val="single" w:color="000000" w:sz="6" w:space="0"/>
            </w:tcBorders>
            <w:noWrap w:val="0"/>
            <w:vAlign w:val="center"/>
          </w:tcPr>
          <w:p w14:paraId="76F9C65B">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第二次付费</w:t>
            </w:r>
          </w:p>
        </w:tc>
        <w:tc>
          <w:tcPr>
            <w:tcW w:w="2538" w:type="dxa"/>
            <w:tcBorders>
              <w:top w:val="single" w:color="000000" w:sz="6" w:space="0"/>
              <w:left w:val="single" w:color="000000" w:sz="6" w:space="0"/>
              <w:bottom w:val="single" w:color="000000" w:sz="6" w:space="0"/>
              <w:right w:val="single" w:color="000000" w:sz="6" w:space="0"/>
            </w:tcBorders>
            <w:noWrap w:val="0"/>
            <w:vAlign w:val="center"/>
          </w:tcPr>
          <w:p w14:paraId="19ECC396">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eastAsia="zh-CN"/>
              </w:rPr>
              <w:t>1</w:t>
            </w:r>
            <w:r>
              <w:rPr>
                <w:rFonts w:hint="eastAsia" w:ascii="宋体" w:hAnsi="宋体" w:eastAsia="宋体" w:cs="宋体"/>
                <w:sz w:val="18"/>
                <w:szCs w:val="18"/>
                <w:lang w:val="en-US" w:eastAsia="zh-CN"/>
              </w:rPr>
              <w:t>00</w:t>
            </w:r>
            <w:r>
              <w:rPr>
                <w:rFonts w:hint="eastAsia" w:ascii="宋体" w:hAnsi="宋体" w:eastAsia="宋体" w:cs="宋体"/>
                <w:sz w:val="18"/>
                <w:szCs w:val="18"/>
              </w:rPr>
              <w:t>%</w:t>
            </w:r>
          </w:p>
        </w:tc>
        <w:tc>
          <w:tcPr>
            <w:tcW w:w="5040" w:type="dxa"/>
            <w:tcBorders>
              <w:top w:val="single" w:color="000000" w:sz="6" w:space="0"/>
              <w:left w:val="single" w:color="000000" w:sz="6" w:space="0"/>
              <w:bottom w:val="single" w:color="000000" w:sz="6" w:space="0"/>
              <w:right w:val="single" w:color="000000" w:sz="6" w:space="0"/>
            </w:tcBorders>
            <w:noWrap w:val="0"/>
            <w:vAlign w:val="center"/>
          </w:tcPr>
          <w:p w14:paraId="247AA45B">
            <w:pPr>
              <w:spacing w:line="280" w:lineRule="exact"/>
              <w:ind w:right="21" w:rightChars="10"/>
              <w:jc w:val="left"/>
              <w:rPr>
                <w:rFonts w:hint="eastAsia" w:ascii="宋体" w:hAnsi="宋体" w:eastAsia="宋体" w:cs="宋体"/>
                <w:sz w:val="18"/>
                <w:szCs w:val="18"/>
              </w:rPr>
            </w:pPr>
            <w:r>
              <w:rPr>
                <w:rFonts w:hint="eastAsia" w:ascii="宋体" w:hAnsi="宋体" w:eastAsia="宋体" w:cs="宋体"/>
                <w:bCs/>
                <w:sz w:val="18"/>
                <w:szCs w:val="18"/>
                <w:lang w:val="en-US" w:eastAsia="zh-CN"/>
              </w:rPr>
              <w:t>工程竣工验收合格（以竣工验收报告日期为准）、涉及后续服务工作全部结束后10个工作日支付剩余分项设计费。</w:t>
            </w:r>
          </w:p>
        </w:tc>
      </w:tr>
    </w:tbl>
    <w:p w14:paraId="644FF050">
      <w:pPr>
        <w:spacing w:line="320" w:lineRule="exact"/>
        <w:rPr>
          <w:rFonts w:hint="eastAsia" w:ascii="宋体" w:hAnsi="宋体" w:eastAsia="宋体" w:cs="宋体"/>
          <w:sz w:val="24"/>
        </w:rPr>
      </w:pPr>
    </w:p>
    <w:p w14:paraId="2F9B88F0">
      <w:pPr>
        <w:spacing w:line="32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.4</w:t>
      </w:r>
      <w:r>
        <w:rPr>
          <w:rFonts w:hint="eastAsia" w:ascii="宋体" w:hAnsi="宋体" w:eastAsia="宋体" w:cs="宋体"/>
          <w:kern w:val="0"/>
          <w:sz w:val="21"/>
          <w:szCs w:val="21"/>
          <w:lang w:val="en-US" w:eastAsia="zh-CN"/>
        </w:rPr>
        <w:t>供电外线设计</w:t>
      </w:r>
      <w:r>
        <w:rPr>
          <w:rFonts w:hint="eastAsia" w:ascii="宋体" w:hAnsi="宋体" w:eastAsia="宋体" w:cs="宋体"/>
          <w:sz w:val="21"/>
          <w:szCs w:val="21"/>
        </w:rPr>
        <w:t>费支付方式详见下表。</w:t>
      </w:r>
    </w:p>
    <w:tbl>
      <w:tblPr>
        <w:tblStyle w:val="5"/>
        <w:tblW w:w="8747" w:type="dxa"/>
        <w:tblInd w:w="57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45" w:type="dxa"/>
          <w:bottom w:w="0" w:type="dxa"/>
          <w:right w:w="45" w:type="dxa"/>
        </w:tblCellMar>
      </w:tblPr>
      <w:tblGrid>
        <w:gridCol w:w="1142"/>
        <w:gridCol w:w="2519"/>
        <w:gridCol w:w="5086"/>
      </w:tblGrid>
      <w:tr w14:paraId="01C09B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atLeast"/>
        </w:trPr>
        <w:tc>
          <w:tcPr>
            <w:tcW w:w="1142" w:type="dxa"/>
            <w:noWrap w:val="0"/>
            <w:vAlign w:val="center"/>
          </w:tcPr>
          <w:p w14:paraId="5DB85858">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付费次序</w:t>
            </w:r>
          </w:p>
        </w:tc>
        <w:tc>
          <w:tcPr>
            <w:tcW w:w="2519" w:type="dxa"/>
            <w:noWrap w:val="0"/>
            <w:vAlign w:val="center"/>
          </w:tcPr>
          <w:p w14:paraId="7891E48E">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占</w:t>
            </w:r>
            <w:r>
              <w:rPr>
                <w:rFonts w:hint="eastAsia" w:ascii="宋体" w:hAnsi="宋体" w:eastAsia="宋体" w:cs="宋体"/>
                <w:sz w:val="18"/>
                <w:szCs w:val="18"/>
                <w:lang w:val="en-US" w:eastAsia="zh-CN"/>
              </w:rPr>
              <w:t>该项费用</w:t>
            </w:r>
            <w:r>
              <w:rPr>
                <w:rFonts w:hint="eastAsia" w:ascii="宋体" w:hAnsi="宋体" w:eastAsia="宋体" w:cs="宋体"/>
                <w:sz w:val="18"/>
                <w:szCs w:val="18"/>
              </w:rPr>
              <w:t>比例</w:t>
            </w:r>
          </w:p>
        </w:tc>
        <w:tc>
          <w:tcPr>
            <w:tcW w:w="5086" w:type="dxa"/>
            <w:noWrap w:val="0"/>
            <w:vAlign w:val="center"/>
          </w:tcPr>
          <w:p w14:paraId="3AB46A2A">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付费时间</w:t>
            </w:r>
          </w:p>
          <w:p w14:paraId="1635C7A5">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（由交付设计文件所决定）</w:t>
            </w:r>
          </w:p>
        </w:tc>
      </w:tr>
      <w:tr w14:paraId="4EE218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348" w:hRule="atLeast"/>
        </w:trPr>
        <w:tc>
          <w:tcPr>
            <w:tcW w:w="1142" w:type="dxa"/>
            <w:tcBorders>
              <w:bottom w:val="single" w:color="auto" w:sz="4" w:space="0"/>
            </w:tcBorders>
            <w:noWrap w:val="0"/>
            <w:vAlign w:val="center"/>
          </w:tcPr>
          <w:p w14:paraId="7E676513">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第一次付费</w:t>
            </w:r>
          </w:p>
        </w:tc>
        <w:tc>
          <w:tcPr>
            <w:tcW w:w="2519" w:type="dxa"/>
            <w:tcBorders>
              <w:bottom w:val="single" w:color="auto" w:sz="4" w:space="0"/>
            </w:tcBorders>
            <w:noWrap w:val="0"/>
            <w:vAlign w:val="center"/>
          </w:tcPr>
          <w:p w14:paraId="6E84C897">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val="en-US" w:eastAsia="zh-CN"/>
              </w:rPr>
              <w:t>7</w:t>
            </w:r>
            <w:r>
              <w:rPr>
                <w:rFonts w:hint="eastAsia" w:ascii="宋体" w:hAnsi="宋体" w:eastAsia="宋体" w:cs="宋体"/>
                <w:sz w:val="18"/>
                <w:szCs w:val="18"/>
              </w:rPr>
              <w:t>0%</w:t>
            </w:r>
          </w:p>
        </w:tc>
        <w:tc>
          <w:tcPr>
            <w:tcW w:w="5086" w:type="dxa"/>
            <w:tcBorders>
              <w:bottom w:val="single" w:color="auto" w:sz="4" w:space="0"/>
            </w:tcBorders>
            <w:noWrap w:val="0"/>
            <w:vAlign w:val="center"/>
          </w:tcPr>
          <w:p w14:paraId="74A7BA32">
            <w:pPr>
              <w:spacing w:line="280" w:lineRule="exact"/>
              <w:ind w:right="21" w:rightChars="10"/>
              <w:jc w:val="left"/>
              <w:rPr>
                <w:rFonts w:hint="eastAsia" w:ascii="宋体" w:hAnsi="宋体" w:eastAsia="宋体" w:cs="宋体"/>
                <w:sz w:val="18"/>
                <w:szCs w:val="18"/>
              </w:rPr>
            </w:pPr>
            <w:r>
              <w:rPr>
                <w:rFonts w:hint="eastAsia" w:ascii="宋体" w:hAnsi="宋体" w:eastAsia="宋体" w:cs="宋体"/>
                <w:kern w:val="0"/>
                <w:sz w:val="18"/>
                <w:szCs w:val="18"/>
                <w:lang w:val="en-US" w:eastAsia="zh-CN"/>
              </w:rPr>
              <w:t>该项供电设计图纸图审通过，经甲方</w:t>
            </w:r>
            <w:r>
              <w:rPr>
                <w:rFonts w:hint="eastAsia" w:ascii="宋体" w:hAnsi="宋体" w:eastAsia="宋体" w:cs="宋体"/>
                <w:bCs/>
                <w:sz w:val="18"/>
                <w:szCs w:val="18"/>
                <w:lang w:val="en-US" w:eastAsia="zh-CN"/>
              </w:rPr>
              <w:t>审核确认后10个工作日</w:t>
            </w:r>
          </w:p>
        </w:tc>
      </w:tr>
      <w:tr w14:paraId="034781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atLeast"/>
        </w:trPr>
        <w:tc>
          <w:tcPr>
            <w:tcW w:w="1142" w:type="dxa"/>
            <w:noWrap w:val="0"/>
            <w:vAlign w:val="center"/>
          </w:tcPr>
          <w:p w14:paraId="2EAF00A7">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第二次付费</w:t>
            </w:r>
          </w:p>
        </w:tc>
        <w:tc>
          <w:tcPr>
            <w:tcW w:w="2519" w:type="dxa"/>
            <w:noWrap w:val="0"/>
            <w:vAlign w:val="center"/>
          </w:tcPr>
          <w:p w14:paraId="7096F977">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eastAsia="zh-CN"/>
              </w:rPr>
              <w:t>1</w:t>
            </w:r>
            <w:r>
              <w:rPr>
                <w:rFonts w:hint="eastAsia" w:ascii="宋体" w:hAnsi="宋体" w:eastAsia="宋体" w:cs="宋体"/>
                <w:sz w:val="18"/>
                <w:szCs w:val="18"/>
                <w:lang w:val="en-US" w:eastAsia="zh-CN"/>
              </w:rPr>
              <w:t>00</w:t>
            </w:r>
            <w:r>
              <w:rPr>
                <w:rFonts w:hint="eastAsia" w:ascii="宋体" w:hAnsi="宋体" w:eastAsia="宋体" w:cs="宋体"/>
                <w:sz w:val="18"/>
                <w:szCs w:val="18"/>
              </w:rPr>
              <w:t>%</w:t>
            </w:r>
          </w:p>
        </w:tc>
        <w:tc>
          <w:tcPr>
            <w:tcW w:w="5086" w:type="dxa"/>
            <w:tcBorders>
              <w:bottom w:val="single" w:color="000000" w:sz="6" w:space="0"/>
            </w:tcBorders>
            <w:noWrap w:val="0"/>
            <w:vAlign w:val="center"/>
          </w:tcPr>
          <w:p w14:paraId="193F6378">
            <w:pPr>
              <w:spacing w:line="280" w:lineRule="exact"/>
              <w:ind w:right="21" w:rightChars="10"/>
              <w:jc w:val="left"/>
              <w:rPr>
                <w:rFonts w:hint="eastAsia" w:ascii="宋体" w:hAnsi="宋体" w:eastAsia="宋体" w:cs="宋体"/>
                <w:sz w:val="18"/>
                <w:szCs w:val="18"/>
              </w:rPr>
            </w:pPr>
            <w:r>
              <w:rPr>
                <w:rFonts w:hint="eastAsia" w:ascii="宋体" w:hAnsi="宋体" w:eastAsia="宋体" w:cs="宋体"/>
                <w:bCs/>
                <w:sz w:val="18"/>
                <w:szCs w:val="18"/>
                <w:lang w:val="en-US" w:eastAsia="zh-CN"/>
              </w:rPr>
              <w:t>工程竣工验收合格（以竣工验收报告日期为准）、涉及后续服务工作全部结束后10个工作日支付剩余分项设计费。</w:t>
            </w:r>
          </w:p>
        </w:tc>
      </w:tr>
    </w:tbl>
    <w:p w14:paraId="6BE0C82C">
      <w:pPr>
        <w:spacing w:line="320" w:lineRule="exact"/>
        <w:rPr>
          <w:rFonts w:hint="eastAsia" w:ascii="宋体" w:hAnsi="宋体" w:eastAsia="宋体" w:cs="宋体"/>
          <w:sz w:val="21"/>
          <w:szCs w:val="21"/>
        </w:rPr>
      </w:pPr>
    </w:p>
    <w:p w14:paraId="4828799C">
      <w:pPr>
        <w:spacing w:line="32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.5单体</w:t>
      </w:r>
      <w:r>
        <w:rPr>
          <w:rFonts w:hint="eastAsia" w:ascii="宋体" w:hAnsi="宋体" w:eastAsia="宋体" w:cs="宋体"/>
          <w:kern w:val="0"/>
          <w:sz w:val="21"/>
          <w:szCs w:val="21"/>
          <w:lang w:val="en-US" w:eastAsia="zh-CN"/>
        </w:rPr>
        <w:t>单体增容配电设计费</w:t>
      </w:r>
      <w:r>
        <w:rPr>
          <w:rFonts w:hint="eastAsia" w:ascii="宋体" w:hAnsi="宋体" w:eastAsia="宋体" w:cs="宋体"/>
          <w:sz w:val="21"/>
          <w:szCs w:val="21"/>
        </w:rPr>
        <w:t>支付方式详见下表。</w:t>
      </w:r>
    </w:p>
    <w:tbl>
      <w:tblPr>
        <w:tblStyle w:val="5"/>
        <w:tblW w:w="8756" w:type="dxa"/>
        <w:tblInd w:w="57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45" w:type="dxa"/>
          <w:bottom w:w="0" w:type="dxa"/>
          <w:right w:w="45" w:type="dxa"/>
        </w:tblCellMar>
      </w:tblPr>
      <w:tblGrid>
        <w:gridCol w:w="1151"/>
        <w:gridCol w:w="2519"/>
        <w:gridCol w:w="5086"/>
      </w:tblGrid>
      <w:tr w14:paraId="4C72A3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exact"/>
        </w:trPr>
        <w:tc>
          <w:tcPr>
            <w:tcW w:w="1151" w:type="dxa"/>
            <w:noWrap w:val="0"/>
            <w:vAlign w:val="center"/>
          </w:tcPr>
          <w:p w14:paraId="2C75300D">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付费次序</w:t>
            </w:r>
          </w:p>
        </w:tc>
        <w:tc>
          <w:tcPr>
            <w:tcW w:w="2519" w:type="dxa"/>
            <w:noWrap w:val="0"/>
            <w:vAlign w:val="center"/>
          </w:tcPr>
          <w:p w14:paraId="4C3DD1EA">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占</w:t>
            </w:r>
            <w:r>
              <w:rPr>
                <w:rFonts w:hint="eastAsia" w:ascii="宋体" w:hAnsi="宋体" w:eastAsia="宋体" w:cs="宋体"/>
                <w:sz w:val="18"/>
                <w:szCs w:val="18"/>
                <w:lang w:val="en-US" w:eastAsia="zh-CN"/>
              </w:rPr>
              <w:t>该项费用</w:t>
            </w:r>
            <w:r>
              <w:rPr>
                <w:rFonts w:hint="eastAsia" w:ascii="宋体" w:hAnsi="宋体" w:eastAsia="宋体" w:cs="宋体"/>
                <w:sz w:val="18"/>
                <w:szCs w:val="18"/>
              </w:rPr>
              <w:t>比例</w:t>
            </w:r>
          </w:p>
        </w:tc>
        <w:tc>
          <w:tcPr>
            <w:tcW w:w="5086" w:type="dxa"/>
            <w:noWrap w:val="0"/>
            <w:vAlign w:val="center"/>
          </w:tcPr>
          <w:p w14:paraId="414943DF">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付费时间</w:t>
            </w:r>
          </w:p>
          <w:p w14:paraId="69B8B369">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（由交付设计文件所决定）</w:t>
            </w:r>
          </w:p>
        </w:tc>
      </w:tr>
      <w:tr w14:paraId="713AFC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567" w:hRule="exact"/>
        </w:trPr>
        <w:tc>
          <w:tcPr>
            <w:tcW w:w="1151" w:type="dxa"/>
            <w:tcBorders>
              <w:bottom w:val="single" w:color="auto" w:sz="4" w:space="0"/>
            </w:tcBorders>
            <w:noWrap w:val="0"/>
            <w:vAlign w:val="center"/>
          </w:tcPr>
          <w:p w14:paraId="158BB567">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第一次付费</w:t>
            </w:r>
          </w:p>
        </w:tc>
        <w:tc>
          <w:tcPr>
            <w:tcW w:w="2519" w:type="dxa"/>
            <w:tcBorders>
              <w:bottom w:val="single" w:color="auto" w:sz="4" w:space="0"/>
            </w:tcBorders>
            <w:noWrap w:val="0"/>
            <w:vAlign w:val="center"/>
          </w:tcPr>
          <w:p w14:paraId="21DCD1B0">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val="en-US" w:eastAsia="zh-CN"/>
              </w:rPr>
              <w:t>7</w:t>
            </w:r>
            <w:r>
              <w:rPr>
                <w:rFonts w:hint="eastAsia" w:ascii="宋体" w:hAnsi="宋体" w:eastAsia="宋体" w:cs="宋体"/>
                <w:sz w:val="18"/>
                <w:szCs w:val="18"/>
              </w:rPr>
              <w:t>0%</w:t>
            </w:r>
          </w:p>
        </w:tc>
        <w:tc>
          <w:tcPr>
            <w:tcW w:w="5086" w:type="dxa"/>
            <w:tcBorders>
              <w:bottom w:val="single" w:color="auto" w:sz="4" w:space="0"/>
            </w:tcBorders>
            <w:noWrap w:val="0"/>
            <w:vAlign w:val="center"/>
          </w:tcPr>
          <w:p w14:paraId="293BF8F7">
            <w:pPr>
              <w:spacing w:line="280" w:lineRule="exact"/>
              <w:ind w:right="21" w:rightChars="10"/>
              <w:jc w:val="left"/>
              <w:rPr>
                <w:rFonts w:hint="eastAsia" w:ascii="宋体" w:hAnsi="宋体" w:eastAsia="宋体" w:cs="宋体"/>
                <w:sz w:val="18"/>
                <w:szCs w:val="18"/>
                <w:lang w:val="en-US" w:eastAsia="zh-CN"/>
              </w:rPr>
            </w:pPr>
            <w:r>
              <w:rPr>
                <w:rFonts w:hint="eastAsia" w:ascii="宋体" w:hAnsi="宋体" w:eastAsia="宋体" w:cs="宋体"/>
                <w:kern w:val="0"/>
                <w:sz w:val="18"/>
                <w:szCs w:val="18"/>
                <w:lang w:val="en-US" w:eastAsia="zh-CN"/>
              </w:rPr>
              <w:t>单体配电房总配电柜至楼层增容配电箱施工图设计完成，经甲方</w:t>
            </w:r>
            <w:r>
              <w:rPr>
                <w:rFonts w:hint="eastAsia" w:ascii="宋体" w:hAnsi="宋体" w:eastAsia="宋体" w:cs="宋体"/>
                <w:bCs/>
                <w:sz w:val="18"/>
                <w:szCs w:val="18"/>
                <w:lang w:val="en-US" w:eastAsia="zh-CN"/>
              </w:rPr>
              <w:t>审核确认后10个工作日</w:t>
            </w:r>
          </w:p>
        </w:tc>
      </w:tr>
      <w:tr w14:paraId="515DE6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45" w:type="dxa"/>
            <w:bottom w:w="0" w:type="dxa"/>
            <w:right w:w="45" w:type="dxa"/>
          </w:tblCellMar>
        </w:tblPrEx>
        <w:trPr>
          <w:trHeight w:val="660" w:hRule="exact"/>
        </w:trPr>
        <w:tc>
          <w:tcPr>
            <w:tcW w:w="1151" w:type="dxa"/>
            <w:noWrap w:val="0"/>
            <w:vAlign w:val="center"/>
          </w:tcPr>
          <w:p w14:paraId="0B3F8B1F">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第二次付费</w:t>
            </w:r>
          </w:p>
        </w:tc>
        <w:tc>
          <w:tcPr>
            <w:tcW w:w="2519" w:type="dxa"/>
            <w:noWrap w:val="0"/>
            <w:vAlign w:val="center"/>
          </w:tcPr>
          <w:p w14:paraId="042A4B2A">
            <w:pPr>
              <w:spacing w:line="280" w:lineRule="exact"/>
              <w:ind w:right="21" w:rightChars="10"/>
              <w:jc w:val="center"/>
              <w:rPr>
                <w:rFonts w:hint="eastAsia" w:ascii="宋体" w:hAnsi="宋体" w:eastAsia="宋体" w:cs="宋体"/>
                <w:sz w:val="18"/>
                <w:szCs w:val="18"/>
              </w:rPr>
            </w:pPr>
            <w:r>
              <w:rPr>
                <w:rFonts w:hint="eastAsia" w:ascii="宋体" w:hAnsi="宋体" w:eastAsia="宋体" w:cs="宋体"/>
                <w:sz w:val="18"/>
                <w:szCs w:val="18"/>
              </w:rPr>
              <w:t>累计付至此</w:t>
            </w:r>
            <w:r>
              <w:rPr>
                <w:rFonts w:hint="eastAsia" w:ascii="宋体" w:hAnsi="宋体" w:eastAsia="宋体" w:cs="宋体"/>
                <w:sz w:val="18"/>
                <w:szCs w:val="18"/>
                <w:lang w:val="en-US" w:eastAsia="zh-CN"/>
              </w:rPr>
              <w:t>项</w:t>
            </w:r>
            <w:r>
              <w:rPr>
                <w:rFonts w:hint="eastAsia" w:ascii="宋体" w:hAnsi="宋体" w:eastAsia="宋体" w:cs="宋体"/>
                <w:sz w:val="18"/>
                <w:szCs w:val="18"/>
              </w:rPr>
              <w:t>设计费</w:t>
            </w:r>
            <w:r>
              <w:rPr>
                <w:rFonts w:hint="eastAsia" w:ascii="宋体" w:hAnsi="宋体" w:eastAsia="宋体" w:cs="宋体"/>
                <w:sz w:val="18"/>
                <w:szCs w:val="18"/>
                <w:lang w:eastAsia="zh-CN"/>
              </w:rPr>
              <w:t>1</w:t>
            </w:r>
            <w:r>
              <w:rPr>
                <w:rFonts w:hint="eastAsia" w:ascii="宋体" w:hAnsi="宋体" w:eastAsia="宋体" w:cs="宋体"/>
                <w:sz w:val="18"/>
                <w:szCs w:val="18"/>
                <w:lang w:val="en-US" w:eastAsia="zh-CN"/>
              </w:rPr>
              <w:t>00</w:t>
            </w:r>
            <w:r>
              <w:rPr>
                <w:rFonts w:hint="eastAsia" w:ascii="宋体" w:hAnsi="宋体" w:eastAsia="宋体" w:cs="宋体"/>
                <w:sz w:val="18"/>
                <w:szCs w:val="18"/>
              </w:rPr>
              <w:t>%</w:t>
            </w:r>
          </w:p>
        </w:tc>
        <w:tc>
          <w:tcPr>
            <w:tcW w:w="5086" w:type="dxa"/>
            <w:noWrap w:val="0"/>
            <w:vAlign w:val="center"/>
          </w:tcPr>
          <w:p w14:paraId="4765B5AE">
            <w:pPr>
              <w:spacing w:line="280" w:lineRule="exact"/>
              <w:ind w:right="21" w:rightChars="10"/>
              <w:jc w:val="left"/>
              <w:rPr>
                <w:rFonts w:hint="eastAsia" w:ascii="宋体" w:hAnsi="宋体" w:eastAsia="宋体" w:cs="宋体"/>
                <w:sz w:val="18"/>
                <w:szCs w:val="18"/>
              </w:rPr>
            </w:pPr>
            <w:r>
              <w:rPr>
                <w:rFonts w:hint="eastAsia" w:ascii="宋体" w:hAnsi="宋体" w:eastAsia="宋体" w:cs="宋体"/>
                <w:bCs/>
                <w:sz w:val="18"/>
                <w:szCs w:val="18"/>
                <w:lang w:val="en-US" w:eastAsia="zh-CN"/>
              </w:rPr>
              <w:t>工程竣工验收合格（以竣工验收报告日期为准）、涉及后续服务工作全部结束后10个工作日支付剩余分项设计费。</w:t>
            </w:r>
          </w:p>
        </w:tc>
      </w:tr>
    </w:tbl>
    <w:p w14:paraId="225167E1">
      <w:pPr>
        <w:tabs>
          <w:tab w:val="left" w:pos="5580"/>
        </w:tabs>
        <w:spacing w:line="520" w:lineRule="exact"/>
        <w:ind w:firstLine="700" w:firstLineChars="292"/>
        <w:rPr>
          <w:sz w:val="24"/>
          <w:szCs w:val="24"/>
        </w:rPr>
      </w:pPr>
      <w:r>
        <w:rPr>
          <w:rFonts w:hint="eastAsia" w:ascii="宋体" w:hAnsi="宋体"/>
          <w:bCs/>
          <w:color w:val="FF0000"/>
          <w:sz w:val="24"/>
          <w:lang w:val="en-US" w:eastAsia="zh-CN"/>
        </w:rPr>
        <w:t>备注：</w:t>
      </w:r>
      <w:r>
        <w:rPr>
          <w:rFonts w:hint="eastAsia" w:ascii="宋体" w:hAnsi="宋体"/>
          <w:bCs/>
          <w:color w:val="FF0000"/>
          <w:sz w:val="24"/>
        </w:rPr>
        <w:t>付款采用转账形式，付款前中标</w:t>
      </w:r>
      <w:r>
        <w:rPr>
          <w:rFonts w:hint="eastAsia" w:ascii="宋体" w:hAnsi="宋体"/>
          <w:bCs/>
          <w:color w:val="FF0000"/>
          <w:sz w:val="24"/>
          <w:lang w:val="en-US" w:eastAsia="zh-CN"/>
        </w:rPr>
        <w:t>单位</w:t>
      </w:r>
      <w:r>
        <w:rPr>
          <w:rFonts w:hint="eastAsia" w:ascii="宋体" w:hAnsi="宋体"/>
          <w:bCs/>
          <w:color w:val="FF0000"/>
          <w:sz w:val="24"/>
        </w:rPr>
        <w:t>须提供符合采购方要求的正规增值税普通发票（全额），否则采购方可暂缓支付货款</w:t>
      </w:r>
      <w:r>
        <w:rPr>
          <w:rFonts w:hint="eastAsia" w:ascii="宋体" w:hAnsi="宋体"/>
          <w:bCs/>
          <w:color w:val="FF0000"/>
          <w:sz w:val="24"/>
          <w:lang w:val="en-US" w:eastAsia="zh-CN"/>
        </w:rPr>
        <w:t>且不因此承担任何责任</w:t>
      </w:r>
      <w:r>
        <w:rPr>
          <w:rFonts w:hint="eastAsia" w:ascii="宋体" w:hAnsi="宋体"/>
          <w:bCs/>
          <w:color w:val="FF0000"/>
          <w:sz w:val="24"/>
        </w:rPr>
        <w:t>。</w:t>
      </w:r>
    </w:p>
    <w:p w14:paraId="71B24A47">
      <w:pPr>
        <w:ind w:firstLine="480"/>
        <w:jc w:val="left"/>
        <w:rPr>
          <w:sz w:val="24"/>
          <w:szCs w:val="24"/>
        </w:rPr>
      </w:pPr>
    </w:p>
    <w:p w14:paraId="5EB07D7D">
      <w:pPr>
        <w:ind w:firstLine="480"/>
        <w:jc w:val="left"/>
        <w:rPr>
          <w:sz w:val="24"/>
          <w:szCs w:val="24"/>
        </w:rPr>
      </w:pPr>
    </w:p>
    <w:p w14:paraId="7DC255DA">
      <w:pPr>
        <w:ind w:firstLine="480"/>
        <w:jc w:val="left"/>
        <w:rPr>
          <w:sz w:val="24"/>
          <w:szCs w:val="24"/>
        </w:rPr>
      </w:pPr>
    </w:p>
    <w:p w14:paraId="393E4051">
      <w:pPr>
        <w:ind w:firstLine="480"/>
        <w:jc w:val="left"/>
        <w:rPr>
          <w:sz w:val="24"/>
          <w:szCs w:val="24"/>
        </w:rPr>
      </w:pPr>
    </w:p>
    <w:p w14:paraId="673064BF">
      <w:pPr>
        <w:ind w:firstLine="480"/>
        <w:jc w:val="left"/>
        <w:rPr>
          <w:sz w:val="24"/>
          <w:szCs w:val="24"/>
        </w:rPr>
      </w:pPr>
    </w:p>
    <w:p w14:paraId="185F4468">
      <w:pPr>
        <w:ind w:firstLine="480"/>
        <w:jc w:val="left"/>
        <w:rPr>
          <w:sz w:val="24"/>
          <w:szCs w:val="24"/>
        </w:rPr>
      </w:pPr>
    </w:p>
    <w:p w14:paraId="780F1BC4">
      <w:pPr>
        <w:jc w:val="left"/>
        <w:rPr>
          <w:rFonts w:hint="default"/>
          <w:sz w:val="24"/>
          <w:szCs w:val="24"/>
          <w:lang w:val="en-US" w:eastAsia="zh-CN"/>
        </w:rPr>
      </w:pPr>
    </w:p>
    <w:sectPr>
      <w:pgSz w:w="11906" w:h="16838"/>
      <w:pgMar w:top="850" w:right="1020"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lOWIxOTY0OWJkZWU3ZDhhYmE4OTU5YTMxNmU5ZTUifQ=="/>
  </w:docVars>
  <w:rsids>
    <w:rsidRoot w:val="00E2402E"/>
    <w:rsid w:val="00030A2B"/>
    <w:rsid w:val="00037BF8"/>
    <w:rsid w:val="0006310A"/>
    <w:rsid w:val="00065DCB"/>
    <w:rsid w:val="00081794"/>
    <w:rsid w:val="00082D4D"/>
    <w:rsid w:val="00103BA7"/>
    <w:rsid w:val="0013491A"/>
    <w:rsid w:val="0014232F"/>
    <w:rsid w:val="0015045A"/>
    <w:rsid w:val="00150E03"/>
    <w:rsid w:val="001C47C7"/>
    <w:rsid w:val="001D1318"/>
    <w:rsid w:val="00207687"/>
    <w:rsid w:val="002C1D30"/>
    <w:rsid w:val="002D7410"/>
    <w:rsid w:val="002F5007"/>
    <w:rsid w:val="00375D3A"/>
    <w:rsid w:val="003A0C5F"/>
    <w:rsid w:val="004045D8"/>
    <w:rsid w:val="00414C8B"/>
    <w:rsid w:val="00423866"/>
    <w:rsid w:val="0045246B"/>
    <w:rsid w:val="004779DA"/>
    <w:rsid w:val="00530F01"/>
    <w:rsid w:val="00554C0C"/>
    <w:rsid w:val="005A6999"/>
    <w:rsid w:val="00627342"/>
    <w:rsid w:val="0065057E"/>
    <w:rsid w:val="0068581F"/>
    <w:rsid w:val="0074420B"/>
    <w:rsid w:val="007967C6"/>
    <w:rsid w:val="007A3356"/>
    <w:rsid w:val="00917CED"/>
    <w:rsid w:val="00953D9C"/>
    <w:rsid w:val="00984153"/>
    <w:rsid w:val="00A3156E"/>
    <w:rsid w:val="00A81C77"/>
    <w:rsid w:val="00A85384"/>
    <w:rsid w:val="00A973D1"/>
    <w:rsid w:val="00AF1F9A"/>
    <w:rsid w:val="00B14A38"/>
    <w:rsid w:val="00B1514F"/>
    <w:rsid w:val="00BB7BA6"/>
    <w:rsid w:val="00BC3107"/>
    <w:rsid w:val="00BE0056"/>
    <w:rsid w:val="00BE556D"/>
    <w:rsid w:val="00C161E8"/>
    <w:rsid w:val="00C45200"/>
    <w:rsid w:val="00C7613C"/>
    <w:rsid w:val="00C764D3"/>
    <w:rsid w:val="00CA32D7"/>
    <w:rsid w:val="00D22FBC"/>
    <w:rsid w:val="00D52F71"/>
    <w:rsid w:val="00E103DE"/>
    <w:rsid w:val="00E2402E"/>
    <w:rsid w:val="00E43A7E"/>
    <w:rsid w:val="00EA7211"/>
    <w:rsid w:val="00EB6DCC"/>
    <w:rsid w:val="00FC7C9D"/>
    <w:rsid w:val="01082FEF"/>
    <w:rsid w:val="02894197"/>
    <w:rsid w:val="02C60B85"/>
    <w:rsid w:val="03110AA1"/>
    <w:rsid w:val="03C926DB"/>
    <w:rsid w:val="047343F5"/>
    <w:rsid w:val="057F4CC6"/>
    <w:rsid w:val="092B1742"/>
    <w:rsid w:val="095D331B"/>
    <w:rsid w:val="0A1421D6"/>
    <w:rsid w:val="0AAC3C1E"/>
    <w:rsid w:val="0ABB6AF5"/>
    <w:rsid w:val="0B062A9E"/>
    <w:rsid w:val="0C5745FC"/>
    <w:rsid w:val="0CE20369"/>
    <w:rsid w:val="0CE22223"/>
    <w:rsid w:val="0E2449B2"/>
    <w:rsid w:val="0E611762"/>
    <w:rsid w:val="0EAF27F3"/>
    <w:rsid w:val="0F0336EA"/>
    <w:rsid w:val="0F9811B3"/>
    <w:rsid w:val="109127D2"/>
    <w:rsid w:val="15B23B51"/>
    <w:rsid w:val="176A5B2B"/>
    <w:rsid w:val="1BE91714"/>
    <w:rsid w:val="1C4032FE"/>
    <w:rsid w:val="1C6951C5"/>
    <w:rsid w:val="1CD81789"/>
    <w:rsid w:val="1D990F18"/>
    <w:rsid w:val="1DDD22DB"/>
    <w:rsid w:val="1EB1403F"/>
    <w:rsid w:val="210F20C8"/>
    <w:rsid w:val="21583AA2"/>
    <w:rsid w:val="228F0D42"/>
    <w:rsid w:val="237C4C1C"/>
    <w:rsid w:val="243E0123"/>
    <w:rsid w:val="24596D0B"/>
    <w:rsid w:val="256242E5"/>
    <w:rsid w:val="271300A4"/>
    <w:rsid w:val="27167136"/>
    <w:rsid w:val="271A2960"/>
    <w:rsid w:val="27545CBD"/>
    <w:rsid w:val="27604FCF"/>
    <w:rsid w:val="27AC35F6"/>
    <w:rsid w:val="29453D02"/>
    <w:rsid w:val="2959155B"/>
    <w:rsid w:val="2B254913"/>
    <w:rsid w:val="2B3E50EC"/>
    <w:rsid w:val="2BB62C95"/>
    <w:rsid w:val="2BDE3F9A"/>
    <w:rsid w:val="2C505EC1"/>
    <w:rsid w:val="2D212835"/>
    <w:rsid w:val="2D8E7FF6"/>
    <w:rsid w:val="2F6A6270"/>
    <w:rsid w:val="2FBE036A"/>
    <w:rsid w:val="2FCD2B87"/>
    <w:rsid w:val="30F5600E"/>
    <w:rsid w:val="31023A7D"/>
    <w:rsid w:val="31216E03"/>
    <w:rsid w:val="32132BEF"/>
    <w:rsid w:val="335B1D88"/>
    <w:rsid w:val="33886B05"/>
    <w:rsid w:val="34BD32E6"/>
    <w:rsid w:val="35527ED3"/>
    <w:rsid w:val="36257395"/>
    <w:rsid w:val="36560654"/>
    <w:rsid w:val="38FB43DD"/>
    <w:rsid w:val="394F0E51"/>
    <w:rsid w:val="395E064D"/>
    <w:rsid w:val="3B6567D9"/>
    <w:rsid w:val="3C0A3B62"/>
    <w:rsid w:val="3C0E4427"/>
    <w:rsid w:val="3CCB41C9"/>
    <w:rsid w:val="3DBD4357"/>
    <w:rsid w:val="3EDC25BB"/>
    <w:rsid w:val="3EEE3679"/>
    <w:rsid w:val="406311E6"/>
    <w:rsid w:val="410A78B3"/>
    <w:rsid w:val="415E19AD"/>
    <w:rsid w:val="42246753"/>
    <w:rsid w:val="423D4915"/>
    <w:rsid w:val="436F1C50"/>
    <w:rsid w:val="43760EDF"/>
    <w:rsid w:val="441C5839"/>
    <w:rsid w:val="46681D8F"/>
    <w:rsid w:val="48D367DD"/>
    <w:rsid w:val="498126DD"/>
    <w:rsid w:val="4CBD7ED0"/>
    <w:rsid w:val="4F440434"/>
    <w:rsid w:val="5051105B"/>
    <w:rsid w:val="506E775A"/>
    <w:rsid w:val="50834F8C"/>
    <w:rsid w:val="50937738"/>
    <w:rsid w:val="52AF039A"/>
    <w:rsid w:val="539574B0"/>
    <w:rsid w:val="54256725"/>
    <w:rsid w:val="561F43C7"/>
    <w:rsid w:val="56F97D56"/>
    <w:rsid w:val="57713D91"/>
    <w:rsid w:val="584B2834"/>
    <w:rsid w:val="58CF172F"/>
    <w:rsid w:val="5A663955"/>
    <w:rsid w:val="5B280C0A"/>
    <w:rsid w:val="5C1178F0"/>
    <w:rsid w:val="5C7165E1"/>
    <w:rsid w:val="5C806824"/>
    <w:rsid w:val="5CC130C4"/>
    <w:rsid w:val="5E056FE1"/>
    <w:rsid w:val="5E3E0745"/>
    <w:rsid w:val="5F0E45BB"/>
    <w:rsid w:val="5F4E49B7"/>
    <w:rsid w:val="659E4FB4"/>
    <w:rsid w:val="67946FF4"/>
    <w:rsid w:val="679D028A"/>
    <w:rsid w:val="693079CF"/>
    <w:rsid w:val="6B2B3DFF"/>
    <w:rsid w:val="6CA83959"/>
    <w:rsid w:val="6CD3474E"/>
    <w:rsid w:val="6DF46A1F"/>
    <w:rsid w:val="701D01BA"/>
    <w:rsid w:val="706333F3"/>
    <w:rsid w:val="72CD0864"/>
    <w:rsid w:val="734F2ED3"/>
    <w:rsid w:val="736B3932"/>
    <w:rsid w:val="74BE59C8"/>
    <w:rsid w:val="76B01265"/>
    <w:rsid w:val="77420E4E"/>
    <w:rsid w:val="788D60F9"/>
    <w:rsid w:val="79E3549E"/>
    <w:rsid w:val="7A1D5BCE"/>
    <w:rsid w:val="7AE04C06"/>
    <w:rsid w:val="7B8657AD"/>
    <w:rsid w:val="7C482A62"/>
    <w:rsid w:val="7CB77BE8"/>
    <w:rsid w:val="7D6E0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批注框文本 Char"/>
    <w:basedOn w:val="7"/>
    <w:link w:val="2"/>
    <w:semiHidden/>
    <w:qFormat/>
    <w:uiPriority w:val="99"/>
    <w:rPr>
      <w:sz w:val="18"/>
      <w:szCs w:val="18"/>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1657</Words>
  <Characters>1707</Characters>
  <Lines>3</Lines>
  <Paragraphs>1</Paragraphs>
  <TotalTime>9</TotalTime>
  <ScaleCrop>false</ScaleCrop>
  <LinksUpToDate>false</LinksUpToDate>
  <CharactersWithSpaces>1716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2021-07-12T05:53:00Z</dcterms:created>
  <dc:creator>adriseu</dc:creator>
  <cp:lastModifiedBy>季周翼</cp:lastModifiedBy>
  <cp:lastPrinted>2024-09-30T02:35:52Z</cp:lastPrinted>
  <dcterms:modified xsi:type="dcterms:W3CDTF">2024-09-30T02:38:47Z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0B95AF59207A4CD9A4C0C7D4FD6386B6_13</vt:lpwstr>
  </property>
</Properties>
</file>